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itle" w:displacedByCustomXml="next"/>
    <w:sdt>
      <w:sdtPr>
        <w:alias w:val="Title"/>
        <w:tag w:val="Title"/>
        <w:id w:val="1323468504"/>
        <w:placeholder>
          <w:docPart w:val="B0B5FC0713364346A1385E1F2882B561"/>
        </w:placeholder>
        <w:text w:multiLine="1"/>
      </w:sdtPr>
      <w:sdtEndPr/>
      <w:sdtContent>
        <w:p w14:paraId="3487E4FE" w14:textId="59EAA139" w:rsidR="009B6F95" w:rsidRPr="00C803F3" w:rsidRDefault="00322993" w:rsidP="009B6F95">
          <w:pPr>
            <w:pStyle w:val="Title1"/>
          </w:pPr>
          <w:r>
            <w:t xml:space="preserve">Building Safety </w:t>
          </w:r>
          <w:r w:rsidR="00816DF8">
            <w:t xml:space="preserve">Bill and Improvement </w:t>
          </w:r>
          <w:r>
            <w:t>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1D7662F1" w:rsidR="00753484" w:rsidRDefault="00BC5AD3" w:rsidP="00753484">
      <w:pPr>
        <w:pStyle w:val="Title3"/>
        <w:ind w:left="0" w:firstLine="0"/>
      </w:pPr>
      <w:r>
        <w:t xml:space="preserve">This report </w:t>
      </w:r>
      <w:r w:rsidRPr="00674BA7">
        <w:t>updates</w:t>
      </w:r>
      <w:r w:rsidR="00075232" w:rsidRPr="00674BA7">
        <w:t xml:space="preserve"> Fire and Rescue Authority </w:t>
      </w:r>
      <w:r w:rsidR="00674BA7" w:rsidRPr="00674BA7">
        <w:t>M</w:t>
      </w:r>
      <w:r w:rsidR="00075232" w:rsidRPr="00674BA7">
        <w:t>embers</w:t>
      </w:r>
      <w:r w:rsidR="00674BA7">
        <w:t xml:space="preserve"> </w:t>
      </w:r>
      <w:r w:rsidR="00753484">
        <w:t xml:space="preserve">on the </w:t>
      </w:r>
      <w:r w:rsidR="009B3073">
        <w:t xml:space="preserve">Building Safety Bill and the work for </w:t>
      </w:r>
      <w:r w:rsidR="00075232">
        <w:t xml:space="preserve">Fire and Rescue Services </w:t>
      </w:r>
      <w:r w:rsidR="006B3501">
        <w:t xml:space="preserve">(FRSs) </w:t>
      </w:r>
      <w:r w:rsidR="00075232">
        <w:t>t</w:t>
      </w:r>
      <w:r w:rsidR="009B3073">
        <w:t>hat flows from its introduction</w:t>
      </w:r>
      <w:r w:rsidR="00753484">
        <w:t>.</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27CC8A12">
                <wp:simplePos x="0" y="0"/>
                <wp:positionH relativeFrom="margin">
                  <wp:align>right</wp:align>
                </wp:positionH>
                <wp:positionV relativeFrom="paragraph">
                  <wp:posOffset>71120</wp:posOffset>
                </wp:positionV>
                <wp:extent cx="5705475" cy="163195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163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61BE77EA" w:rsidR="00B92D70" w:rsidRDefault="00B92D70" w:rsidP="00753484">
                            <w:pPr>
                              <w:pStyle w:val="Title3"/>
                              <w:ind w:left="0" w:firstLine="0"/>
                            </w:pPr>
                            <w:r w:rsidRPr="00B84F31">
                              <w:t>That</w:t>
                            </w:r>
                            <w:r w:rsidR="00075232">
                              <w:t xml:space="preserve"> </w:t>
                            </w:r>
                            <w:r w:rsidR="00674BA7" w:rsidRPr="00674BA7">
                              <w:t>M</w:t>
                            </w:r>
                            <w:r w:rsidR="00075232" w:rsidRPr="00674BA7">
                              <w:t>embers</w:t>
                            </w:r>
                            <w:r w:rsidRPr="00674BA7">
                              <w:t xml:space="preserve"> note</w:t>
                            </w:r>
                            <w:r>
                              <w:t xml:space="preserve"> </w:t>
                            </w:r>
                            <w:r w:rsidR="00254158">
                              <w:t xml:space="preserve">the updates in this paper </w:t>
                            </w:r>
                            <w:r>
                              <w:t xml:space="preserve">and comment on the </w:t>
                            </w:r>
                            <w:r w:rsidR="00075232">
                              <w:t>implications for FRS implementation</w:t>
                            </w:r>
                            <w:r w:rsidR="006B3501">
                              <w:t>.</w:t>
                            </w:r>
                            <w:r w:rsidR="00075232">
                              <w:t xml:space="preserve"> </w:t>
                            </w:r>
                          </w:p>
                          <w:p w14:paraId="3487E56A" w14:textId="5390EDD5" w:rsidR="00B92D70" w:rsidRPr="00A627DD" w:rsidRDefault="00E16639"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w:t>
                                </w:r>
                              </w:sdtContent>
                            </w:sdt>
                          </w:p>
                          <w:p w14:paraId="3487E56B" w14:textId="659B4F06" w:rsidR="00B92D70" w:rsidRPr="00B84F31" w:rsidRDefault="00E16639" w:rsidP="00B84F31">
                            <w:pPr>
                              <w:pStyle w:val="Title3"/>
                              <w:ind w:left="0" w:firstLine="0"/>
                            </w:pPr>
                            <w:r>
                              <w:t>Chief Fire Officers</w:t>
                            </w:r>
                            <w:r w:rsidR="00B92D70">
                              <w:t xml:space="preserve"> to incorporate </w:t>
                            </w:r>
                            <w:r w:rsidR="00AE552A">
                              <w:t>members’</w:t>
                            </w:r>
                            <w:r w:rsidR="00B92D70">
                              <w:t xml:space="preserve"> views in</w:t>
                            </w:r>
                            <w:r w:rsidR="001F6637">
                              <w:t>to t</w:t>
                            </w:r>
                            <w:r>
                              <w:t xml:space="preserve">he </w:t>
                            </w:r>
                            <w:r w:rsidR="00B92D70">
                              <w:t xml:space="preserve">ongoing </w:t>
                            </w:r>
                            <w:r w:rsidR="00075232">
                              <w:t>preparation</w:t>
                            </w:r>
                            <w:r>
                              <w:t xml:space="preserve"> by FRSs</w:t>
                            </w:r>
                            <w:r w:rsidR="00075232">
                              <w:t xml:space="preserve"> for </w:t>
                            </w:r>
                            <w:r>
                              <w:t xml:space="preserve">the </w:t>
                            </w:r>
                            <w:r w:rsidR="00B92D70">
                              <w:t xml:space="preserve">building safety </w:t>
                            </w:r>
                            <w:r w:rsidR="005D76E8">
                              <w:t>regulator</w:t>
                            </w:r>
                            <w:r w:rsidR="00B92D70">
                              <w:t xml:space="preserve">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61BE77EA" w:rsidR="00B92D70" w:rsidRDefault="00B92D70" w:rsidP="00753484">
                      <w:pPr>
                        <w:pStyle w:val="Title3"/>
                        <w:ind w:left="0" w:firstLine="0"/>
                      </w:pPr>
                      <w:r w:rsidRPr="00B84F31">
                        <w:t>That</w:t>
                      </w:r>
                      <w:r w:rsidR="00075232">
                        <w:t xml:space="preserve"> </w:t>
                      </w:r>
                      <w:r w:rsidR="00674BA7" w:rsidRPr="00674BA7">
                        <w:t>M</w:t>
                      </w:r>
                      <w:r w:rsidR="00075232" w:rsidRPr="00674BA7">
                        <w:t>embers</w:t>
                      </w:r>
                      <w:r w:rsidRPr="00674BA7">
                        <w:t xml:space="preserve"> note</w:t>
                      </w:r>
                      <w:r>
                        <w:t xml:space="preserve"> </w:t>
                      </w:r>
                      <w:r w:rsidR="00254158">
                        <w:t xml:space="preserve">the updates in this paper </w:t>
                      </w:r>
                      <w:r>
                        <w:t xml:space="preserve">and comment on the </w:t>
                      </w:r>
                      <w:r w:rsidR="00075232">
                        <w:t>implications for FRS implementation</w:t>
                      </w:r>
                      <w:r w:rsidR="006B3501">
                        <w:t>.</w:t>
                      </w:r>
                      <w:r w:rsidR="00075232">
                        <w:t xml:space="preserve"> </w:t>
                      </w:r>
                    </w:p>
                    <w:p w14:paraId="3487E56A" w14:textId="5390EDD5" w:rsidR="00B92D70" w:rsidRPr="00A627DD" w:rsidRDefault="00E16639"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w:t>
                          </w:r>
                        </w:sdtContent>
                      </w:sdt>
                    </w:p>
                    <w:p w14:paraId="3487E56B" w14:textId="659B4F06" w:rsidR="00B92D70" w:rsidRPr="00B84F31" w:rsidRDefault="00E16639" w:rsidP="00B84F31">
                      <w:pPr>
                        <w:pStyle w:val="Title3"/>
                        <w:ind w:left="0" w:firstLine="0"/>
                      </w:pPr>
                      <w:r>
                        <w:t>Chief Fire Officers</w:t>
                      </w:r>
                      <w:r w:rsidR="00B92D70">
                        <w:t xml:space="preserve"> to incorporate </w:t>
                      </w:r>
                      <w:r w:rsidR="00AE552A">
                        <w:t>members’</w:t>
                      </w:r>
                      <w:r w:rsidR="00B92D70">
                        <w:t xml:space="preserve"> views in</w:t>
                      </w:r>
                      <w:r w:rsidR="001F6637">
                        <w:t>to t</w:t>
                      </w:r>
                      <w:r>
                        <w:t xml:space="preserve">he </w:t>
                      </w:r>
                      <w:r w:rsidR="00B92D70">
                        <w:t xml:space="preserve">ongoing </w:t>
                      </w:r>
                      <w:r w:rsidR="00075232">
                        <w:t>preparation</w:t>
                      </w:r>
                      <w:r>
                        <w:t xml:space="preserve"> by FRSs</w:t>
                      </w:r>
                      <w:r w:rsidR="00075232">
                        <w:t xml:space="preserve"> for </w:t>
                      </w:r>
                      <w:r>
                        <w:t xml:space="preserve">the </w:t>
                      </w:r>
                      <w:r w:rsidR="00B92D70">
                        <w:t xml:space="preserve">building safety </w:t>
                      </w:r>
                      <w:r w:rsidR="005D76E8">
                        <w:t>regulator</w:t>
                      </w:r>
                      <w:r w:rsidR="00B92D70">
                        <w:t xml:space="preserve"> work. </w:t>
                      </w:r>
                    </w:p>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7C71BC65" w14:textId="77777777" w:rsidR="00C3427D" w:rsidRPr="00075232" w:rsidRDefault="00C3427D" w:rsidP="00C3427D">
      <w:pPr>
        <w:rPr>
          <w:b/>
          <w:bCs/>
        </w:rPr>
      </w:pPr>
      <w:r w:rsidRPr="00075232">
        <w:rPr>
          <w:b/>
          <w:bCs/>
        </w:rPr>
        <w:t>Contact</w:t>
      </w:r>
    </w:p>
    <w:p w14:paraId="32557C88" w14:textId="77777777" w:rsidR="00C3427D" w:rsidRPr="00674BA7" w:rsidRDefault="00C3427D" w:rsidP="00C3427D">
      <w:r>
        <w:t xml:space="preserve">Gavin Tomlinson - Chief Fire Officer (CFO), </w:t>
      </w:r>
      <w:r w:rsidRPr="00674BA7">
        <w:t xml:space="preserve">Derbyshire Fire and Rescue Service </w:t>
      </w:r>
    </w:p>
    <w:p w14:paraId="14974167" w14:textId="77777777" w:rsidR="00C3427D" w:rsidRDefault="00C3427D" w:rsidP="00C3427D">
      <w:hyperlink r:id="rId11" w:history="1">
        <w:r w:rsidRPr="00674BA7">
          <w:rPr>
            <w:rStyle w:val="Hyperlink"/>
          </w:rPr>
          <w:t>gtomlins@derbys-fire.gov.uk</w:t>
        </w:r>
      </w:hyperlink>
      <w:r>
        <w:t xml:space="preserve"> </w:t>
      </w:r>
    </w:p>
    <w:p w14:paraId="3487E50D" w14:textId="77777777" w:rsidR="009B6F95" w:rsidRDefault="009B6F95" w:rsidP="00B84F31">
      <w:pPr>
        <w:pStyle w:val="Title3"/>
      </w:pPr>
    </w:p>
    <w:p w14:paraId="3487E50E" w14:textId="77777777" w:rsidR="009B6F95" w:rsidRDefault="009B6F95" w:rsidP="00B84F31">
      <w:pPr>
        <w:pStyle w:val="Title3"/>
      </w:pPr>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9B32FE2" w:rsidR="009B6F95" w:rsidRDefault="009B6F95"/>
    <w:p w14:paraId="6A40DA60" w14:textId="550676A8" w:rsidR="00075232" w:rsidRDefault="00075232"/>
    <w:p w14:paraId="7402E671" w14:textId="2E4F6DF8" w:rsidR="00075232" w:rsidRDefault="00075232"/>
    <w:p w14:paraId="383A92BE" w14:textId="3A1C6016" w:rsidR="00075232" w:rsidRDefault="00075232"/>
    <w:p w14:paraId="3487E519" w14:textId="25B55D0A" w:rsidR="00C803F3" w:rsidRDefault="000F69FB" w:rsidP="000F69FB">
      <w:pPr>
        <w:pStyle w:val="Title1"/>
      </w:pPr>
      <w:r>
        <w:lastRenderedPageBreak/>
        <w:fldChar w:fldCharType="begin"/>
      </w:r>
      <w:r>
        <w:instrText xml:space="preserve"> REF  Title \h \*MERGEFORMAT </w:instrText>
      </w:r>
      <w:r>
        <w:fldChar w:fldCharType="separate"/>
      </w:r>
      <w:sdt>
        <w:sdtPr>
          <w:rPr>
            <w:rFonts w:eastAsia="Calibri" w:cs="Arial"/>
          </w:rPr>
          <w:alias w:val="Title"/>
          <w:tag w:val="Title"/>
          <w:id w:val="1035769103"/>
          <w:placeholder>
            <w:docPart w:val="8952FE319F5642748C0B3F7878422227"/>
          </w:placeholder>
          <w:text w:multiLine="1"/>
        </w:sdtPr>
        <w:sdtEndPr/>
        <w:sdtContent>
          <w:r w:rsidR="00B13D36" w:rsidRPr="00B13D36">
            <w:rPr>
              <w:rFonts w:eastAsia="Calibri" w:cs="Arial"/>
            </w:rPr>
            <w:t>Building Safety Bill and Improvement update</w:t>
          </w:r>
        </w:sdtContent>
      </w:sdt>
      <w:r>
        <w:fldChar w:fldCharType="end"/>
      </w:r>
    </w:p>
    <w:sdt>
      <w:sdtPr>
        <w:rPr>
          <w:rStyle w:val="Style6"/>
        </w:rPr>
        <w:alias w:val="Issues"/>
        <w:tag w:val="Issues"/>
        <w:id w:val="-1684430981"/>
        <w:placeholder>
          <w:docPart w:val="602357B17E8043739AD27C3284A47032"/>
        </w:placeholder>
      </w:sdtPr>
      <w:sdtEndPr>
        <w:rPr>
          <w:rStyle w:val="Style6"/>
        </w:rPr>
      </w:sdtEndPr>
      <w:sdtContent>
        <w:p w14:paraId="3487E51E" w14:textId="2A6D4E02" w:rsidR="009B6F95" w:rsidRPr="00C803F3" w:rsidRDefault="00B254B2" w:rsidP="00AC19D9">
          <w:pPr>
            <w:spacing w:line="240" w:lineRule="auto"/>
            <w:rPr>
              <w:rStyle w:val="ReportTemplate"/>
            </w:rPr>
          </w:pPr>
          <w:r>
            <w:rPr>
              <w:rStyle w:val="Style6"/>
            </w:rPr>
            <w:t>Background</w:t>
          </w:r>
        </w:p>
      </w:sdtContent>
    </w:sdt>
    <w:p w14:paraId="3E7C6208" w14:textId="427F8415" w:rsidR="009B3073" w:rsidRPr="009B3073" w:rsidRDefault="00B254B2" w:rsidP="007E5755">
      <w:pPr>
        <w:pStyle w:val="ListParagraph"/>
        <w:spacing w:line="240" w:lineRule="auto"/>
        <w:contextualSpacing w:val="0"/>
        <w:rPr>
          <w:rFonts w:eastAsia="Arial"/>
        </w:rPr>
      </w:pPr>
      <w:r>
        <w:t xml:space="preserve">The Building Safety Bill </w:t>
      </w:r>
      <w:r w:rsidR="009B3073">
        <w:t>was published in draft form on</w:t>
      </w:r>
      <w:r w:rsidR="00AC19D9">
        <w:t xml:space="preserve"> 20 July 2020 a</w:t>
      </w:r>
      <w:r w:rsidR="009B3073">
        <w:t xml:space="preserve">nd was subjected to </w:t>
      </w:r>
      <w:hyperlink r:id="rId12" w:history="1">
        <w:r w:rsidR="009B3073" w:rsidRPr="00AC19D9">
          <w:rPr>
            <w:rStyle w:val="Hyperlink"/>
          </w:rPr>
          <w:t>pre-legislative scrutiny by the Housing, Communities and Local Government Select Committee</w:t>
        </w:r>
      </w:hyperlink>
      <w:r w:rsidR="009B3073">
        <w:t>.</w:t>
      </w:r>
    </w:p>
    <w:p w14:paraId="2F4DFCF0" w14:textId="0EB53A8A" w:rsidR="006159FE" w:rsidRPr="006159FE" w:rsidRDefault="009B3073" w:rsidP="006159FE">
      <w:pPr>
        <w:pStyle w:val="ListParagraph"/>
        <w:spacing w:line="240" w:lineRule="auto"/>
        <w:contextualSpacing w:val="0"/>
        <w:rPr>
          <w:rFonts w:eastAsia="Arial"/>
        </w:rPr>
      </w:pPr>
      <w:r>
        <w:t xml:space="preserve">A new version of the </w:t>
      </w:r>
      <w:hyperlink r:id="rId13" w:history="1">
        <w:r w:rsidR="00126061">
          <w:rPr>
            <w:rStyle w:val="Hyperlink"/>
          </w:rPr>
          <w:t>B</w:t>
        </w:r>
        <w:r w:rsidRPr="00126061">
          <w:rPr>
            <w:rStyle w:val="Hyperlink"/>
          </w:rPr>
          <w:t>ill</w:t>
        </w:r>
      </w:hyperlink>
      <w:r>
        <w:t xml:space="preserve"> was </w:t>
      </w:r>
      <w:r w:rsidR="006159FE">
        <w:t>formally introduced</w:t>
      </w:r>
      <w:r>
        <w:t xml:space="preserve"> on</w:t>
      </w:r>
      <w:r w:rsidR="00AC19D9">
        <w:t xml:space="preserve"> 5 July 2021</w:t>
      </w:r>
      <w:r w:rsidR="006159FE">
        <w:t xml:space="preserve">. Published alongside this was </w:t>
      </w:r>
      <w:r>
        <w:t xml:space="preserve">a </w:t>
      </w:r>
      <w:hyperlink r:id="rId14" w:history="1">
        <w:r w:rsidRPr="00126061">
          <w:rPr>
            <w:rStyle w:val="Hyperlink"/>
          </w:rPr>
          <w:t>transition plan</w:t>
        </w:r>
      </w:hyperlink>
      <w:r>
        <w:t xml:space="preserve"> (</w:t>
      </w:r>
      <w:r w:rsidR="00126061">
        <w:t xml:space="preserve">see also the </w:t>
      </w:r>
      <w:r>
        <w:t xml:space="preserve">annex) and a </w:t>
      </w:r>
      <w:hyperlink r:id="rId15" w:history="1">
        <w:r w:rsidRPr="00126061">
          <w:rPr>
            <w:rStyle w:val="Hyperlink"/>
          </w:rPr>
          <w:t>response</w:t>
        </w:r>
      </w:hyperlink>
      <w:r>
        <w:t xml:space="preserve"> </w:t>
      </w:r>
      <w:r w:rsidR="00AC4778">
        <w:t>to</w:t>
      </w:r>
      <w:r>
        <w:t xml:space="preserve"> the select committee report.</w:t>
      </w:r>
      <w:r w:rsidR="006159FE">
        <w:t xml:space="preserve"> The Bill had its second reading on </w:t>
      </w:r>
      <w:proofErr w:type="gramStart"/>
      <w:r w:rsidR="006159FE">
        <w:t>21 July 2021, and</w:t>
      </w:r>
      <w:proofErr w:type="gramEnd"/>
      <w:r w:rsidR="006159FE">
        <w:t xml:space="preserve"> entered Committee Stage on 9 September 2021. </w:t>
      </w:r>
    </w:p>
    <w:p w14:paraId="295EF40D" w14:textId="656D9FB1" w:rsidR="00B254B2" w:rsidRPr="00B254B2" w:rsidRDefault="009B3073" w:rsidP="007E5755">
      <w:pPr>
        <w:pStyle w:val="ListParagraph"/>
        <w:spacing w:line="240" w:lineRule="auto"/>
        <w:contextualSpacing w:val="0"/>
        <w:rPr>
          <w:rFonts w:eastAsia="Arial"/>
        </w:rPr>
      </w:pPr>
      <w:r>
        <w:t xml:space="preserve">The Bill </w:t>
      </w:r>
      <w:r w:rsidR="00AC4778">
        <w:t xml:space="preserve">establishes </w:t>
      </w:r>
      <w:r w:rsidR="00B254B2" w:rsidRPr="00B254B2">
        <w:rPr>
          <w:lang w:val="en-US" w:eastAsia="en-GB"/>
        </w:rPr>
        <w:t xml:space="preserve">a </w:t>
      </w:r>
      <w:r w:rsidR="00126061">
        <w:rPr>
          <w:lang w:val="en-US" w:eastAsia="en-GB"/>
        </w:rPr>
        <w:t>B</w:t>
      </w:r>
      <w:r w:rsidR="00B254B2" w:rsidRPr="00B254B2">
        <w:rPr>
          <w:lang w:val="en-US" w:eastAsia="en-GB"/>
        </w:rPr>
        <w:t xml:space="preserve">uilding </w:t>
      </w:r>
      <w:r w:rsidR="00126061">
        <w:rPr>
          <w:lang w:val="en-US" w:eastAsia="en-GB"/>
        </w:rPr>
        <w:t>S</w:t>
      </w:r>
      <w:r w:rsidR="00B254B2" w:rsidRPr="00B254B2">
        <w:rPr>
          <w:lang w:val="en-US" w:eastAsia="en-GB"/>
        </w:rPr>
        <w:t xml:space="preserve">afety </w:t>
      </w:r>
      <w:r w:rsidR="00126061">
        <w:rPr>
          <w:lang w:val="en-US" w:eastAsia="en-GB"/>
        </w:rPr>
        <w:t>R</w:t>
      </w:r>
      <w:r w:rsidR="00B254B2" w:rsidRPr="00B254B2">
        <w:rPr>
          <w:lang w:val="en-US" w:eastAsia="en-GB"/>
        </w:rPr>
        <w:t xml:space="preserve">egulator </w:t>
      </w:r>
      <w:r w:rsidR="00126061">
        <w:rPr>
          <w:lang w:val="en-US" w:eastAsia="en-GB"/>
        </w:rPr>
        <w:t xml:space="preserve">(BSR) </w:t>
      </w:r>
      <w:r w:rsidR="00B254B2" w:rsidRPr="00B254B2">
        <w:rPr>
          <w:lang w:val="en-US" w:eastAsia="en-GB"/>
        </w:rPr>
        <w:t>within the H</w:t>
      </w:r>
      <w:r w:rsidR="00C3427D">
        <w:rPr>
          <w:lang w:val="en-US" w:eastAsia="en-GB"/>
        </w:rPr>
        <w:t xml:space="preserve">ealth and </w:t>
      </w:r>
      <w:r w:rsidR="00B254B2" w:rsidRPr="00B254B2">
        <w:rPr>
          <w:lang w:val="en-US" w:eastAsia="en-GB"/>
        </w:rPr>
        <w:t>S</w:t>
      </w:r>
      <w:r w:rsidR="00C3427D">
        <w:rPr>
          <w:lang w:val="en-US" w:eastAsia="en-GB"/>
        </w:rPr>
        <w:t xml:space="preserve">afety </w:t>
      </w:r>
      <w:r w:rsidR="00B254B2" w:rsidRPr="00B254B2">
        <w:rPr>
          <w:lang w:val="en-US" w:eastAsia="en-GB"/>
        </w:rPr>
        <w:t>E</w:t>
      </w:r>
      <w:r w:rsidR="00C3427D">
        <w:rPr>
          <w:lang w:val="en-US" w:eastAsia="en-GB"/>
        </w:rPr>
        <w:t>xecutive (HSE)</w:t>
      </w:r>
      <w:r w:rsidR="00B254B2" w:rsidRPr="00B254B2">
        <w:rPr>
          <w:lang w:val="en-US" w:eastAsia="en-GB"/>
        </w:rPr>
        <w:t xml:space="preserve"> to</w:t>
      </w:r>
      <w:r w:rsidR="00254158">
        <w:rPr>
          <w:lang w:val="en-US" w:eastAsia="en-GB"/>
        </w:rPr>
        <w:t xml:space="preserve">: </w:t>
      </w:r>
    </w:p>
    <w:p w14:paraId="3AC54F25" w14:textId="108D2A87" w:rsidR="00B254B2" w:rsidRPr="00FB3306" w:rsidRDefault="00AC4778" w:rsidP="00AC19D9">
      <w:pPr>
        <w:pStyle w:val="ListParagraph"/>
        <w:numPr>
          <w:ilvl w:val="1"/>
          <w:numId w:val="1"/>
        </w:numPr>
        <w:spacing w:line="240" w:lineRule="auto"/>
        <w:contextualSpacing w:val="0"/>
        <w:rPr>
          <w:rFonts w:eastAsia="Arial"/>
        </w:rPr>
      </w:pPr>
      <w:r>
        <w:t>i</w:t>
      </w:r>
      <w:r w:rsidR="00B254B2" w:rsidRPr="00FB3306">
        <w:t>mplement the new, more stringent, regulatory regime for higher-risk buildings</w:t>
      </w:r>
      <w:r w:rsidR="00B254B2">
        <w:t xml:space="preserve"> (defined as residential buildings over 18m</w:t>
      </w:r>
      <w:r w:rsidR="00264B80">
        <w:t xml:space="preserve"> and – following LGA and N</w:t>
      </w:r>
      <w:r w:rsidR="00B03C74">
        <w:t>ational Fire Chiefs Council</w:t>
      </w:r>
      <w:r w:rsidR="00264B80">
        <w:t xml:space="preserve"> </w:t>
      </w:r>
      <w:r w:rsidR="005E4A23">
        <w:t xml:space="preserve">(NFCC) </w:t>
      </w:r>
      <w:r w:rsidR="008F0059">
        <w:t>representation</w:t>
      </w:r>
      <w:r w:rsidR="00264B80">
        <w:t xml:space="preserve"> – care homes and hospitals over 18m at the design and construction stage</w:t>
      </w:r>
      <w:r w:rsidR="00B254B2">
        <w:t>)</w:t>
      </w:r>
      <w:r w:rsidR="00B254B2" w:rsidRPr="00FB3306">
        <w:t xml:space="preserve">. </w:t>
      </w:r>
    </w:p>
    <w:p w14:paraId="3E7A0FAA" w14:textId="54DEC044" w:rsidR="00B254B2" w:rsidRPr="00FB3306" w:rsidRDefault="00AC4778" w:rsidP="00AC19D9">
      <w:pPr>
        <w:pStyle w:val="ListParagraph"/>
        <w:numPr>
          <w:ilvl w:val="1"/>
          <w:numId w:val="1"/>
        </w:numPr>
        <w:spacing w:line="240" w:lineRule="auto"/>
        <w:contextualSpacing w:val="0"/>
        <w:rPr>
          <w:rFonts w:eastAsia="Arial"/>
        </w:rPr>
      </w:pPr>
      <w:r>
        <w:t>o</w:t>
      </w:r>
      <w:r w:rsidR="00B254B2" w:rsidRPr="00FB3306">
        <w:t xml:space="preserve">versee the safety and performance of all buildings. </w:t>
      </w:r>
    </w:p>
    <w:p w14:paraId="6BB7C2B3" w14:textId="36CEAF14" w:rsidR="00B254B2" w:rsidRPr="005C761A" w:rsidRDefault="00AC4778" w:rsidP="00AC19D9">
      <w:pPr>
        <w:pStyle w:val="ListParagraph"/>
        <w:numPr>
          <w:ilvl w:val="1"/>
          <w:numId w:val="1"/>
        </w:numPr>
        <w:spacing w:line="240" w:lineRule="auto"/>
        <w:contextualSpacing w:val="0"/>
        <w:rPr>
          <w:rFonts w:eastAsia="Arial"/>
        </w:rPr>
      </w:pPr>
      <w:r>
        <w:t>a</w:t>
      </w:r>
      <w:r w:rsidR="00B254B2" w:rsidRPr="00FB3306">
        <w:t xml:space="preserve">ssist and encourage competence among the built environment industry, and registered building inspectors. </w:t>
      </w:r>
    </w:p>
    <w:p w14:paraId="6D432D9E" w14:textId="66CBD288" w:rsidR="00AC4778" w:rsidRPr="009963E9" w:rsidRDefault="00B254B2" w:rsidP="007E5755">
      <w:pPr>
        <w:pStyle w:val="ListParagraph"/>
        <w:spacing w:line="240" w:lineRule="auto"/>
        <w:contextualSpacing w:val="0"/>
        <w:rPr>
          <w:rFonts w:eastAsia="Arial"/>
        </w:rPr>
      </w:pPr>
      <w:r w:rsidRPr="00FB3306">
        <w:t>The</w:t>
      </w:r>
      <w:r w:rsidR="00AC4778">
        <w:t xml:space="preserve"> BSR will rely on </w:t>
      </w:r>
      <w:r w:rsidR="00F84741">
        <w:t>FRSs</w:t>
      </w:r>
      <w:r w:rsidR="008F0059">
        <w:t xml:space="preserve">, </w:t>
      </w:r>
      <w:r w:rsidRPr="00FB3306">
        <w:t xml:space="preserve">council building control services </w:t>
      </w:r>
      <w:r w:rsidR="009B3073">
        <w:t>and environmental health teams</w:t>
      </w:r>
      <w:r w:rsidRPr="00FB3306">
        <w:t xml:space="preserve"> </w:t>
      </w:r>
      <w:r w:rsidR="00AC4778">
        <w:t xml:space="preserve">to </w:t>
      </w:r>
      <w:r w:rsidRPr="00FB3306">
        <w:t>deliver the regime for higher-risk buildings</w:t>
      </w:r>
      <w:r w:rsidR="00AC4778">
        <w:t>, which</w:t>
      </w:r>
      <w:r w:rsidR="00AC4778" w:rsidRPr="00FB3306">
        <w:t xml:space="preserve"> is expected to involve </w:t>
      </w:r>
      <w:r w:rsidR="008B322C">
        <w:t>M</w:t>
      </w:r>
      <w:r w:rsidR="00AC4778" w:rsidRPr="00FB3306">
        <w:t>ulti-</w:t>
      </w:r>
      <w:r w:rsidR="008B322C">
        <w:t>D</w:t>
      </w:r>
      <w:r w:rsidR="00AC4778" w:rsidRPr="00FB3306">
        <w:t xml:space="preserve">isciplinary </w:t>
      </w:r>
      <w:r w:rsidR="008B322C">
        <w:t>T</w:t>
      </w:r>
      <w:r w:rsidR="00AC4778" w:rsidRPr="00FB3306">
        <w:t>eams</w:t>
      </w:r>
      <w:r w:rsidR="008B322C">
        <w:t xml:space="preserve"> (MDT)</w:t>
      </w:r>
      <w:r w:rsidR="008F0059">
        <w:t>.</w:t>
      </w:r>
    </w:p>
    <w:p w14:paraId="04035130" w14:textId="4553984F" w:rsidR="00F13C3A" w:rsidRPr="00F13C3A" w:rsidRDefault="00AC4778" w:rsidP="007E5755">
      <w:pPr>
        <w:pStyle w:val="ListParagraph"/>
        <w:spacing w:line="240" w:lineRule="auto"/>
        <w:contextualSpacing w:val="0"/>
        <w:rPr>
          <w:rFonts w:eastAsia="Arial"/>
        </w:rPr>
      </w:pPr>
      <w:r>
        <w:t xml:space="preserve">The details of </w:t>
      </w:r>
      <w:r w:rsidR="008F0059">
        <w:t>how the regime may operate in practice are</w:t>
      </w:r>
      <w:r>
        <w:t xml:space="preserve"> being worked</w:t>
      </w:r>
      <w:r w:rsidR="008F0059">
        <w:t xml:space="preserve"> on through the Joint Regulators Group (JRG)</w:t>
      </w:r>
      <w:r>
        <w:t xml:space="preserve"> </w:t>
      </w:r>
      <w:r w:rsidR="008F0059">
        <w:t xml:space="preserve">chaired by the HSE, and involving </w:t>
      </w:r>
      <w:r w:rsidR="00276FDB">
        <w:t xml:space="preserve">the </w:t>
      </w:r>
      <w:r w:rsidR="008F0059">
        <w:t>D</w:t>
      </w:r>
      <w:r w:rsidR="00276FDB">
        <w:t xml:space="preserve">epartment of </w:t>
      </w:r>
      <w:r w:rsidR="008F0059">
        <w:t>L</w:t>
      </w:r>
      <w:r w:rsidR="00276FDB">
        <w:t xml:space="preserve">evelling </w:t>
      </w:r>
      <w:r w:rsidR="008F0059">
        <w:t>U</w:t>
      </w:r>
      <w:r w:rsidR="00276FDB">
        <w:t xml:space="preserve">p, </w:t>
      </w:r>
      <w:r w:rsidR="008F0059">
        <w:t>H</w:t>
      </w:r>
      <w:r w:rsidR="00276FDB">
        <w:t xml:space="preserve">ousing and </w:t>
      </w:r>
      <w:r w:rsidR="008F0059">
        <w:t>C</w:t>
      </w:r>
      <w:r w:rsidR="00276FDB">
        <w:t>ommunities (DLUHC)</w:t>
      </w:r>
      <w:r w:rsidR="008F0059">
        <w:t xml:space="preserve"> and the Home Office. Members include </w:t>
      </w:r>
      <w:r w:rsidR="005D76E8">
        <w:t>Local Authority Building Control (</w:t>
      </w:r>
      <w:r w:rsidR="008F0059">
        <w:t>LABC</w:t>
      </w:r>
      <w:r w:rsidR="005D76E8">
        <w:t>)</w:t>
      </w:r>
      <w:r w:rsidR="008F0059">
        <w:t xml:space="preserve">, the LGA, and the NFCC. </w:t>
      </w:r>
    </w:p>
    <w:p w14:paraId="243E080F" w14:textId="785B28BB" w:rsidR="00AC4778" w:rsidRPr="00F13C3A" w:rsidRDefault="008F0059" w:rsidP="007E5755">
      <w:pPr>
        <w:pStyle w:val="ListParagraph"/>
        <w:spacing w:line="240" w:lineRule="auto"/>
        <w:contextualSpacing w:val="0"/>
        <w:rPr>
          <w:rFonts w:eastAsia="Arial"/>
        </w:rPr>
      </w:pPr>
      <w:r>
        <w:t xml:space="preserve">While the JRG has been involved in policy design trials, members are becoming increasingly concerned about the lack of sufficient programme management and join up between the advice of JRG members </w:t>
      </w:r>
      <w:r w:rsidR="00F13C3A">
        <w:t xml:space="preserve">and senior decision makers. </w:t>
      </w:r>
      <w:r w:rsidR="00AC4778">
        <w:t xml:space="preserve">The LGA </w:t>
      </w:r>
      <w:r w:rsidR="00F13C3A">
        <w:t xml:space="preserve">and NFCC have </w:t>
      </w:r>
      <w:r w:rsidR="00AC4778">
        <w:t xml:space="preserve">raised the need for the Government and HSE to </w:t>
      </w:r>
      <w:r w:rsidR="00F13C3A">
        <w:t xml:space="preserve">increase their engagement with </w:t>
      </w:r>
      <w:r w:rsidR="00816DF8">
        <w:t xml:space="preserve">councils and </w:t>
      </w:r>
      <w:r w:rsidR="00AC4778">
        <w:t xml:space="preserve">fire </w:t>
      </w:r>
      <w:r w:rsidR="00126061">
        <w:t xml:space="preserve">and rescue </w:t>
      </w:r>
      <w:r w:rsidR="00AC4778">
        <w:t>authorities</w:t>
      </w:r>
      <w:r w:rsidR="005D76E8">
        <w:t>, hence the reason for this report</w:t>
      </w:r>
      <w:r w:rsidR="00A43506">
        <w:t>.</w:t>
      </w:r>
    </w:p>
    <w:p w14:paraId="38462DF1" w14:textId="1631BFEC" w:rsidR="00F13C3A" w:rsidRPr="00F13C3A" w:rsidRDefault="00F13C3A" w:rsidP="00F13C3A">
      <w:pPr>
        <w:spacing w:line="240" w:lineRule="auto"/>
        <w:ind w:left="0" w:firstLine="0"/>
        <w:rPr>
          <w:rFonts w:eastAsia="Arial"/>
          <w:b/>
          <w:bCs/>
        </w:rPr>
      </w:pPr>
      <w:r w:rsidRPr="00F13C3A">
        <w:rPr>
          <w:rFonts w:eastAsia="Arial"/>
          <w:b/>
          <w:bCs/>
        </w:rPr>
        <w:t xml:space="preserve">Key features of the Bill </w:t>
      </w:r>
    </w:p>
    <w:p w14:paraId="127DA23B" w14:textId="77777777" w:rsidR="00AC19D9" w:rsidRDefault="00AC4778" w:rsidP="007E5755">
      <w:pPr>
        <w:pStyle w:val="ListParagraph"/>
        <w:spacing w:line="240" w:lineRule="auto"/>
        <w:contextualSpacing w:val="0"/>
        <w:rPr>
          <w:rFonts w:eastAsia="Arial"/>
        </w:rPr>
      </w:pPr>
      <w:r>
        <w:t>The Bill places the</w:t>
      </w:r>
      <w:r w:rsidR="00B254B2" w:rsidRPr="00FB3306">
        <w:t xml:space="preserve"> HSE and local regulators </w:t>
      </w:r>
      <w:r>
        <w:t>u</w:t>
      </w:r>
      <w:r w:rsidR="00B254B2" w:rsidRPr="00FB3306">
        <w:t>nder a duty to cooperate and gives the HSE the power to direct councils and fire services. The latter power is to be used only in exceptional circumstances and the Bill provides safeguards to prevent it becoming a default option.</w:t>
      </w:r>
      <w:r w:rsidR="00B254B2" w:rsidRPr="00FB3306">
        <w:rPr>
          <w:rFonts w:eastAsia="Arial"/>
        </w:rPr>
        <w:t xml:space="preserve"> </w:t>
      </w:r>
    </w:p>
    <w:p w14:paraId="2689741F" w14:textId="78C5631C" w:rsidR="00AC19D9" w:rsidRPr="00D34073" w:rsidRDefault="00AC19D9" w:rsidP="007E5755">
      <w:pPr>
        <w:pStyle w:val="ListParagraph"/>
        <w:spacing w:line="240" w:lineRule="auto"/>
        <w:contextualSpacing w:val="0"/>
        <w:rPr>
          <w:rFonts w:eastAsia="Arial"/>
        </w:rPr>
      </w:pPr>
      <w:r w:rsidRPr="007E5755">
        <w:t>New</w:t>
      </w:r>
      <w:r w:rsidRPr="00AC19D9">
        <w:rPr>
          <w:rFonts w:eastAsia="Times New Roman" w:cs="Arial"/>
        </w:rPr>
        <w:t xml:space="preserve"> buildings will have to pass through three </w:t>
      </w:r>
      <w:r w:rsidRPr="00D34073">
        <w:rPr>
          <w:rFonts w:eastAsia="Times New Roman" w:cs="Arial"/>
        </w:rPr>
        <w:t>regulatory Gateways in relation to safety – at the planning stage, at the final design stage (before construction can begin) and immediately before occupation when construction is complete.</w:t>
      </w:r>
    </w:p>
    <w:p w14:paraId="4778136C" w14:textId="3D6372F3" w:rsidR="00AC19D9" w:rsidRPr="00126061" w:rsidRDefault="00AC19D9" w:rsidP="007E5755">
      <w:pPr>
        <w:pStyle w:val="ListParagraph"/>
        <w:spacing w:line="240" w:lineRule="auto"/>
        <w:contextualSpacing w:val="0"/>
        <w:rPr>
          <w:rFonts w:eastAsia="Arial"/>
        </w:rPr>
      </w:pPr>
      <w:r w:rsidRPr="00D34073">
        <w:rPr>
          <w:rFonts w:eastAsia="Times New Roman" w:cs="Arial"/>
        </w:rPr>
        <w:t xml:space="preserve">In occupation, buildings will need to be registered with the BSR and will require a </w:t>
      </w:r>
      <w:r w:rsidR="00A43506">
        <w:rPr>
          <w:rFonts w:eastAsia="Times New Roman" w:cs="Arial"/>
        </w:rPr>
        <w:t>S</w:t>
      </w:r>
      <w:r w:rsidRPr="00D34073">
        <w:rPr>
          <w:rFonts w:eastAsia="Times New Roman" w:cs="Arial"/>
        </w:rPr>
        <w:t xml:space="preserve">afety </w:t>
      </w:r>
      <w:r w:rsidR="00A43506">
        <w:rPr>
          <w:rFonts w:eastAsia="Times New Roman" w:cs="Arial"/>
        </w:rPr>
        <w:t>C</w:t>
      </w:r>
      <w:r w:rsidRPr="00D34073">
        <w:rPr>
          <w:rFonts w:eastAsia="Times New Roman" w:cs="Arial"/>
        </w:rPr>
        <w:t xml:space="preserve">ase. </w:t>
      </w:r>
      <w:r w:rsidR="00EA0D35" w:rsidRPr="00D34073">
        <w:rPr>
          <w:rFonts w:eastAsia="Times New Roman" w:cs="Arial"/>
        </w:rPr>
        <w:t>The Accountable Person (AP, essentially the o</w:t>
      </w:r>
      <w:r w:rsidRPr="00D34073">
        <w:rPr>
          <w:rFonts w:eastAsia="Times New Roman" w:cs="Arial"/>
        </w:rPr>
        <w:t>wner</w:t>
      </w:r>
      <w:r w:rsidR="00EA0D35" w:rsidRPr="00D34073">
        <w:rPr>
          <w:rFonts w:eastAsia="Times New Roman" w:cs="Arial"/>
        </w:rPr>
        <w:t xml:space="preserve"> or managing agent)</w:t>
      </w:r>
      <w:r w:rsidRPr="00D34073">
        <w:rPr>
          <w:rFonts w:eastAsia="Times New Roman" w:cs="Arial"/>
        </w:rPr>
        <w:t xml:space="preserve"> will need to maintain a Golden Thread</w:t>
      </w:r>
      <w:r w:rsidR="005D76E8">
        <w:rPr>
          <w:rFonts w:eastAsia="Times New Roman" w:cs="Arial"/>
        </w:rPr>
        <w:t xml:space="preserve"> (detailed information)</w:t>
      </w:r>
      <w:r w:rsidRPr="00D34073">
        <w:rPr>
          <w:rFonts w:eastAsia="Times New Roman" w:cs="Arial"/>
        </w:rPr>
        <w:t xml:space="preserve"> of information about the building.</w:t>
      </w:r>
    </w:p>
    <w:p w14:paraId="61105789" w14:textId="4AF3D452" w:rsidR="00126061" w:rsidRPr="00126061" w:rsidRDefault="00126061" w:rsidP="007E5755">
      <w:pPr>
        <w:pStyle w:val="ListParagraph"/>
        <w:spacing w:line="240" w:lineRule="auto"/>
        <w:contextualSpacing w:val="0"/>
        <w:rPr>
          <w:rFonts w:eastAsia="Arial"/>
        </w:rPr>
      </w:pPr>
      <w:r>
        <w:rPr>
          <w:lang w:eastAsia="en-GB"/>
        </w:rPr>
        <w:lastRenderedPageBreak/>
        <w:t xml:space="preserve">The AP will have a duty to listen to residents who </w:t>
      </w:r>
      <w:r w:rsidRPr="00126061">
        <w:rPr>
          <w:lang w:eastAsia="en-GB"/>
        </w:rPr>
        <w:t xml:space="preserve">raise building safety </w:t>
      </w:r>
      <w:r>
        <w:rPr>
          <w:lang w:eastAsia="en-GB"/>
        </w:rPr>
        <w:t>concerns – and i</w:t>
      </w:r>
      <w:r w:rsidRPr="00126061">
        <w:rPr>
          <w:lang w:eastAsia="en-GB"/>
        </w:rPr>
        <w:t>f residents feel ignored, they can raise</w:t>
      </w:r>
      <w:r>
        <w:rPr>
          <w:lang w:eastAsia="en-GB"/>
        </w:rPr>
        <w:t xml:space="preserve"> issues </w:t>
      </w:r>
      <w:r w:rsidRPr="00126061">
        <w:rPr>
          <w:lang w:eastAsia="en-GB"/>
        </w:rPr>
        <w:t>with the B</w:t>
      </w:r>
      <w:r>
        <w:rPr>
          <w:lang w:eastAsia="en-GB"/>
        </w:rPr>
        <w:t>SR.</w:t>
      </w:r>
    </w:p>
    <w:p w14:paraId="1838DA47" w14:textId="3090660E" w:rsidR="00AC19D9" w:rsidRPr="00F13C3A" w:rsidRDefault="00AC19D9" w:rsidP="00F13C3A">
      <w:pPr>
        <w:pStyle w:val="ListParagraph"/>
        <w:spacing w:line="240" w:lineRule="auto"/>
        <w:contextualSpacing w:val="0"/>
        <w:rPr>
          <w:rFonts w:eastAsia="Arial"/>
        </w:rPr>
      </w:pPr>
      <w:r w:rsidRPr="007E5755">
        <w:t>Leaseholders</w:t>
      </w:r>
      <w:r>
        <w:rPr>
          <w:rFonts w:eastAsia="Times New Roman" w:cs="Arial"/>
        </w:rPr>
        <w:t xml:space="preserve"> will have to pay a </w:t>
      </w:r>
      <w:r w:rsidR="00EA0D35">
        <w:rPr>
          <w:rFonts w:eastAsia="Times New Roman" w:cs="Arial"/>
        </w:rPr>
        <w:t>B</w:t>
      </w:r>
      <w:r>
        <w:rPr>
          <w:rFonts w:eastAsia="Times New Roman" w:cs="Arial"/>
        </w:rPr>
        <w:t xml:space="preserve">uilding </w:t>
      </w:r>
      <w:r w:rsidR="00EA0D35">
        <w:rPr>
          <w:rFonts w:eastAsia="Times New Roman" w:cs="Arial"/>
        </w:rPr>
        <w:t>S</w:t>
      </w:r>
      <w:r>
        <w:rPr>
          <w:rFonts w:eastAsia="Times New Roman" w:cs="Arial"/>
        </w:rPr>
        <w:t xml:space="preserve">afety </w:t>
      </w:r>
      <w:r w:rsidR="00EA0D35">
        <w:rPr>
          <w:rFonts w:eastAsia="Times New Roman" w:cs="Arial"/>
        </w:rPr>
        <w:t>C</w:t>
      </w:r>
      <w:r>
        <w:rPr>
          <w:rFonts w:eastAsia="Times New Roman" w:cs="Arial"/>
        </w:rPr>
        <w:t>harge</w:t>
      </w:r>
      <w:r w:rsidR="00EA0D35">
        <w:rPr>
          <w:rFonts w:eastAsia="Times New Roman" w:cs="Arial"/>
        </w:rPr>
        <w:t xml:space="preserve"> (BSC)</w:t>
      </w:r>
      <w:r>
        <w:rPr>
          <w:rFonts w:eastAsia="Times New Roman" w:cs="Arial"/>
        </w:rPr>
        <w:t xml:space="preserve"> that covers the costs of operating the new regime</w:t>
      </w:r>
      <w:r w:rsidR="00F13C3A">
        <w:rPr>
          <w:rFonts w:eastAsia="Times New Roman" w:cs="Arial"/>
        </w:rPr>
        <w:t xml:space="preserve">. </w:t>
      </w:r>
      <w:r w:rsidR="00F078FD">
        <w:rPr>
          <w:rFonts w:eastAsia="Times New Roman" w:cs="Arial"/>
        </w:rPr>
        <w:t>The</w:t>
      </w:r>
      <w:r w:rsidR="00F94AB0">
        <w:rPr>
          <w:rFonts w:eastAsia="Times New Roman" w:cs="Arial"/>
        </w:rPr>
        <w:t xml:space="preserve"> </w:t>
      </w:r>
      <w:r w:rsidR="00F078FD">
        <w:rPr>
          <w:rFonts w:eastAsia="Times New Roman" w:cs="Arial"/>
        </w:rPr>
        <w:t>G</w:t>
      </w:r>
      <w:r w:rsidR="00F94AB0">
        <w:rPr>
          <w:rFonts w:eastAsia="Times New Roman" w:cs="Arial"/>
        </w:rPr>
        <w:t xml:space="preserve">overnment has said that the </w:t>
      </w:r>
      <w:r w:rsidR="00F078FD">
        <w:rPr>
          <w:rFonts w:eastAsia="Times New Roman" w:cs="Arial"/>
        </w:rPr>
        <w:t xml:space="preserve">new </w:t>
      </w:r>
      <w:r w:rsidR="00F94AB0">
        <w:rPr>
          <w:rFonts w:eastAsia="Times New Roman" w:cs="Arial"/>
        </w:rPr>
        <w:t xml:space="preserve">BSC will not be able to be used to pass on costs to leaseholders for </w:t>
      </w:r>
      <w:r w:rsidR="00F078FD">
        <w:rPr>
          <w:rFonts w:eastAsia="Times New Roman" w:cs="Arial"/>
        </w:rPr>
        <w:t>remediation works. However, t</w:t>
      </w:r>
      <w:r w:rsidRPr="00F13C3A">
        <w:rPr>
          <w:rFonts w:eastAsia="Times New Roman" w:cs="Arial"/>
        </w:rPr>
        <w:t xml:space="preserve">hese will </w:t>
      </w:r>
      <w:r w:rsidR="00F078FD">
        <w:rPr>
          <w:rFonts w:eastAsia="Times New Roman" w:cs="Arial"/>
        </w:rPr>
        <w:t xml:space="preserve">still </w:t>
      </w:r>
      <w:r w:rsidRPr="00F13C3A">
        <w:rPr>
          <w:rFonts w:eastAsia="Times New Roman" w:cs="Arial"/>
        </w:rPr>
        <w:t xml:space="preserve">be chargeable under existing </w:t>
      </w:r>
      <w:r w:rsidR="00F078FD">
        <w:rPr>
          <w:rFonts w:eastAsia="Times New Roman" w:cs="Arial"/>
        </w:rPr>
        <w:t xml:space="preserve">leasehold </w:t>
      </w:r>
      <w:r w:rsidRPr="00F13C3A">
        <w:rPr>
          <w:rFonts w:eastAsia="Times New Roman" w:cs="Arial"/>
        </w:rPr>
        <w:t xml:space="preserve">arrangements, which vary according to leases, but generally allow </w:t>
      </w:r>
      <w:r w:rsidR="00EA0D35" w:rsidRPr="00F13C3A">
        <w:rPr>
          <w:rFonts w:eastAsia="Times New Roman" w:cs="Arial"/>
        </w:rPr>
        <w:t>APs</w:t>
      </w:r>
      <w:r w:rsidRPr="00F13C3A">
        <w:rPr>
          <w:rFonts w:eastAsia="Times New Roman" w:cs="Arial"/>
        </w:rPr>
        <w:t xml:space="preserve"> </w:t>
      </w:r>
      <w:r w:rsidR="00EA0D35" w:rsidRPr="00F13C3A">
        <w:rPr>
          <w:rFonts w:eastAsia="Times New Roman" w:cs="Arial"/>
        </w:rPr>
        <w:t>to</w:t>
      </w:r>
      <w:r w:rsidRPr="00F13C3A">
        <w:rPr>
          <w:rFonts w:eastAsia="Times New Roman" w:cs="Arial"/>
        </w:rPr>
        <w:t xml:space="preserve"> pass costs on to leaseholders. </w:t>
      </w:r>
    </w:p>
    <w:p w14:paraId="6956782E" w14:textId="203E8D3B" w:rsidR="009963E9" w:rsidRPr="00BB07AD" w:rsidRDefault="009963E9" w:rsidP="00F84741">
      <w:pPr>
        <w:pStyle w:val="ListParagraph"/>
        <w:spacing w:line="240" w:lineRule="auto"/>
        <w:contextualSpacing w:val="0"/>
        <w:rPr>
          <w:rFonts w:eastAsia="Arial"/>
        </w:rPr>
      </w:pPr>
      <w:r w:rsidRPr="007E5755">
        <w:t>The</w:t>
      </w:r>
      <w:r>
        <w:rPr>
          <w:rFonts w:eastAsia="Arial"/>
        </w:rPr>
        <w:t xml:space="preserve"> first stage of the new regime </w:t>
      </w:r>
      <w:hyperlink r:id="rId16" w:history="1">
        <w:r w:rsidR="00BB07AD">
          <w:rPr>
            <w:rStyle w:val="Hyperlink"/>
            <w:rFonts w:eastAsia="Arial"/>
          </w:rPr>
          <w:t>P</w:t>
        </w:r>
        <w:r w:rsidR="00AC4778" w:rsidRPr="00BB07AD">
          <w:rPr>
            <w:rStyle w:val="Hyperlink"/>
            <w:rFonts w:eastAsia="Arial"/>
          </w:rPr>
          <w:t xml:space="preserve">lanning </w:t>
        </w:r>
        <w:r w:rsidR="00BB07AD">
          <w:rPr>
            <w:rStyle w:val="Hyperlink"/>
            <w:rFonts w:eastAsia="Arial"/>
          </w:rPr>
          <w:t>G</w:t>
        </w:r>
        <w:r w:rsidR="00AC4778" w:rsidRPr="00BB07AD">
          <w:rPr>
            <w:rStyle w:val="Hyperlink"/>
            <w:rFonts w:eastAsia="Arial"/>
          </w:rPr>
          <w:t xml:space="preserve">ateway </w:t>
        </w:r>
        <w:r w:rsidR="00BB07AD">
          <w:rPr>
            <w:rStyle w:val="Hyperlink"/>
            <w:rFonts w:eastAsia="Arial"/>
          </w:rPr>
          <w:t>O</w:t>
        </w:r>
        <w:r w:rsidR="00AC4778" w:rsidRPr="00BB07AD">
          <w:rPr>
            <w:rStyle w:val="Hyperlink"/>
            <w:rFonts w:eastAsia="Arial"/>
          </w:rPr>
          <w:t>ne</w:t>
        </w:r>
      </w:hyperlink>
      <w:r w:rsidR="00AC4778">
        <w:rPr>
          <w:rFonts w:eastAsia="Arial"/>
        </w:rPr>
        <w:t xml:space="preserve"> </w:t>
      </w:r>
      <w:r w:rsidR="00F13C3A">
        <w:rPr>
          <w:rFonts w:eastAsia="Arial"/>
        </w:rPr>
        <w:t>began in</w:t>
      </w:r>
      <w:r w:rsidR="00AC4778">
        <w:rPr>
          <w:rFonts w:eastAsia="Arial"/>
        </w:rPr>
        <w:t xml:space="preserve"> August</w:t>
      </w:r>
      <w:r w:rsidR="00F13C3A">
        <w:rPr>
          <w:rFonts w:eastAsia="Arial"/>
        </w:rPr>
        <w:t xml:space="preserve"> 2021,</w:t>
      </w:r>
      <w:r w:rsidR="00AC4778">
        <w:rPr>
          <w:rFonts w:eastAsia="Arial"/>
        </w:rPr>
        <w:t xml:space="preserve"> </w:t>
      </w:r>
      <w:r w:rsidR="00BB07AD">
        <w:rPr>
          <w:rFonts w:eastAsia="Arial"/>
        </w:rPr>
        <w:t>which</w:t>
      </w:r>
      <w:r w:rsidR="00F13C3A">
        <w:rPr>
          <w:rFonts w:eastAsia="Arial"/>
        </w:rPr>
        <w:t xml:space="preserve"> </w:t>
      </w:r>
      <w:r w:rsidR="00BB07AD" w:rsidRPr="00BB07AD">
        <w:rPr>
          <w:rFonts w:eastAsia="Arial"/>
        </w:rPr>
        <w:t>require</w:t>
      </w:r>
      <w:r w:rsidR="00F13C3A">
        <w:rPr>
          <w:rFonts w:eastAsia="Arial"/>
        </w:rPr>
        <w:t>s</w:t>
      </w:r>
      <w:r w:rsidR="00BB07AD" w:rsidRPr="00BB07AD">
        <w:rPr>
          <w:rFonts w:eastAsia="Arial"/>
        </w:rPr>
        <w:t xml:space="preserve"> those planning to build buildings in scope of the new regime to produce a</w:t>
      </w:r>
      <w:r w:rsidR="00BB07AD" w:rsidRPr="00BB07AD">
        <w:rPr>
          <w:rFonts w:cs="Arial"/>
          <w:color w:val="0B0C0C"/>
          <w:shd w:val="clear" w:color="auto" w:fill="FFFFFF"/>
        </w:rPr>
        <w:t> fire statement to ensure applicants have considered fire safety issues as they relate to land use planning matters (e.g. layout and access).</w:t>
      </w:r>
    </w:p>
    <w:p w14:paraId="450E0062" w14:textId="7322D402" w:rsidR="00BB07AD" w:rsidRPr="00BB07AD" w:rsidRDefault="002A23A5" w:rsidP="00BB07AD">
      <w:pPr>
        <w:spacing w:line="240" w:lineRule="auto"/>
        <w:ind w:left="0" w:firstLine="0"/>
        <w:rPr>
          <w:rFonts w:eastAsia="Arial"/>
          <w:b/>
          <w:bCs/>
        </w:rPr>
      </w:pPr>
      <w:r>
        <w:rPr>
          <w:rFonts w:cs="Arial"/>
          <w:b/>
          <w:bCs/>
          <w:color w:val="0B0C0C"/>
          <w:shd w:val="clear" w:color="auto" w:fill="FFFFFF"/>
        </w:rPr>
        <w:t xml:space="preserve">Concerns with the Bill </w:t>
      </w:r>
    </w:p>
    <w:p w14:paraId="5C84C481" w14:textId="6881529D" w:rsidR="00DA45A6" w:rsidRDefault="00DA45A6" w:rsidP="007E5755">
      <w:pPr>
        <w:pStyle w:val="ListParagraph"/>
        <w:spacing w:line="240" w:lineRule="auto"/>
        <w:contextualSpacing w:val="0"/>
      </w:pPr>
      <w:r>
        <w:t xml:space="preserve">The </w:t>
      </w:r>
      <w:r w:rsidR="00F13C3A">
        <w:t>NFCC</w:t>
      </w:r>
      <w:r>
        <w:t xml:space="preserve"> </w:t>
      </w:r>
      <w:r w:rsidR="00B03C74">
        <w:t xml:space="preserve">is generally supportive of the </w:t>
      </w:r>
      <w:proofErr w:type="gramStart"/>
      <w:r w:rsidR="00B03C74">
        <w:t>Bill, and</w:t>
      </w:r>
      <w:proofErr w:type="gramEnd"/>
      <w:r w:rsidR="00B03C74">
        <w:t xml:space="preserve"> recognises the urgent need for it to be passed in order to prevent further unsafe buildings from continuing to be constructed. However NFCC </w:t>
      </w:r>
      <w:r>
        <w:t xml:space="preserve">has </w:t>
      </w:r>
      <w:hyperlink r:id="rId17" w:history="1">
        <w:r w:rsidR="00F13C3A" w:rsidRPr="00F13C3A">
          <w:rPr>
            <w:rStyle w:val="Hyperlink"/>
          </w:rPr>
          <w:t>submitted</w:t>
        </w:r>
      </w:hyperlink>
      <w:r w:rsidR="00F13C3A">
        <w:t xml:space="preserve"> </w:t>
      </w:r>
      <w:r w:rsidR="002A23A5">
        <w:t xml:space="preserve">written evidence </w:t>
      </w:r>
      <w:r>
        <w:t>express</w:t>
      </w:r>
      <w:r w:rsidR="00F13C3A">
        <w:t>ing</w:t>
      </w:r>
      <w:r>
        <w:t xml:space="preserve"> concern </w:t>
      </w:r>
      <w:r w:rsidR="00B85192">
        <w:t>that</w:t>
      </w:r>
      <w:r>
        <w:t xml:space="preserve"> t</w:t>
      </w:r>
      <w:r w:rsidRPr="00FB3306">
        <w:rPr>
          <w:lang w:eastAsia="en-GB"/>
        </w:rPr>
        <w:t>he scope of the Bill</w:t>
      </w:r>
      <w:r w:rsidR="00B85192">
        <w:rPr>
          <w:lang w:eastAsia="en-GB"/>
        </w:rPr>
        <w:t xml:space="preserve"> could be wider</w:t>
      </w:r>
      <w:r w:rsidRPr="00FB3306">
        <w:rPr>
          <w:lang w:eastAsia="en-GB"/>
        </w:rPr>
        <w:t>, the speed at which its scope can be expanded</w:t>
      </w:r>
      <w:r w:rsidR="00B03C74">
        <w:rPr>
          <w:lang w:eastAsia="en-GB"/>
        </w:rPr>
        <w:t>,</w:t>
      </w:r>
      <w:r w:rsidRPr="00FB3306">
        <w:rPr>
          <w:lang w:eastAsia="en-GB"/>
        </w:rPr>
        <w:t xml:space="preserve"> and the constraints on its expansion</w:t>
      </w:r>
      <w:r>
        <w:rPr>
          <w:lang w:eastAsia="en-GB"/>
        </w:rPr>
        <w:t xml:space="preserve">. </w:t>
      </w:r>
      <w:r w:rsidR="00F13C3A">
        <w:rPr>
          <w:lang w:eastAsia="en-GB"/>
        </w:rPr>
        <w:t>They</w:t>
      </w:r>
      <w:r>
        <w:rPr>
          <w:lang w:eastAsia="en-GB"/>
        </w:rPr>
        <w:t xml:space="preserve"> have argued that</w:t>
      </w:r>
      <w:r>
        <w:t xml:space="preserve"> height is not an effective determinant of risk and that care homes under 18m should be included in the new regime.</w:t>
      </w:r>
    </w:p>
    <w:p w14:paraId="25FF72A1" w14:textId="2508965E" w:rsidR="00DA45A6" w:rsidRPr="00A52947" w:rsidRDefault="00DA45A6" w:rsidP="007E5755">
      <w:pPr>
        <w:pStyle w:val="ListParagraph"/>
        <w:spacing w:line="240" w:lineRule="auto"/>
        <w:contextualSpacing w:val="0"/>
      </w:pPr>
      <w:r>
        <w:t xml:space="preserve">The </w:t>
      </w:r>
      <w:r w:rsidR="00B85192">
        <w:t>NFCC</w:t>
      </w:r>
      <w:r w:rsidRPr="00FB3306">
        <w:t xml:space="preserve"> has </w:t>
      </w:r>
      <w:r>
        <w:t xml:space="preserve">also </w:t>
      </w:r>
      <w:r w:rsidRPr="00FB3306">
        <w:t>expressed concern</w:t>
      </w:r>
      <w:r>
        <w:t xml:space="preserve"> about</w:t>
      </w:r>
      <w:r w:rsidRPr="00FB3306">
        <w:t>:</w:t>
      </w:r>
    </w:p>
    <w:p w14:paraId="5FEA085A" w14:textId="1432A3D4" w:rsidR="00B85192" w:rsidRPr="00324CE2" w:rsidRDefault="00B85192" w:rsidP="00B85192">
      <w:pPr>
        <w:pStyle w:val="ListParagraph"/>
        <w:numPr>
          <w:ilvl w:val="1"/>
          <w:numId w:val="1"/>
        </w:numPr>
        <w:spacing w:line="240" w:lineRule="auto"/>
        <w:ind w:left="993" w:hanging="633"/>
        <w:contextualSpacing w:val="0"/>
      </w:pPr>
      <w:r>
        <w:t>The removal of competition in building control</w:t>
      </w:r>
      <w:r w:rsidR="7B831CF4">
        <w:t xml:space="preserve"> does not go far enough; the ability for a client to choose their own regulator should be removed for the whole of the built environment</w:t>
      </w:r>
      <w:r w:rsidR="00967536">
        <w:t>.</w:t>
      </w:r>
    </w:p>
    <w:p w14:paraId="26BE605C" w14:textId="6D2F4606" w:rsidR="00B85192" w:rsidRPr="00324CE2" w:rsidRDefault="00B85192" w:rsidP="00324CE2">
      <w:pPr>
        <w:pStyle w:val="ListParagraph"/>
        <w:numPr>
          <w:ilvl w:val="1"/>
          <w:numId w:val="1"/>
        </w:numPr>
        <w:spacing w:line="240" w:lineRule="auto"/>
        <w:ind w:left="993" w:hanging="633"/>
        <w:contextualSpacing w:val="0"/>
      </w:pPr>
      <w:r w:rsidRPr="00324CE2">
        <w:t>The watering down of provisions in relation to the refurbishment of buildings</w:t>
      </w:r>
      <w:r w:rsidR="007E5755" w:rsidRPr="00324CE2">
        <w:t xml:space="preserve">, and possible watering down of the </w:t>
      </w:r>
      <w:proofErr w:type="gramStart"/>
      <w:r w:rsidR="007E5755" w:rsidRPr="00324CE2">
        <w:t>gateways</w:t>
      </w:r>
      <w:proofErr w:type="gramEnd"/>
      <w:r w:rsidR="007E5755" w:rsidRPr="00324CE2">
        <w:t xml:space="preserve"> provisions</w:t>
      </w:r>
      <w:r w:rsidR="00967536" w:rsidRPr="00324CE2">
        <w:t>.</w:t>
      </w:r>
    </w:p>
    <w:p w14:paraId="6A28F831" w14:textId="52378C7A" w:rsidR="00DA45A6" w:rsidRPr="00324CE2" w:rsidRDefault="00DA45A6" w:rsidP="00CD6733">
      <w:pPr>
        <w:pStyle w:val="ListParagraph"/>
        <w:numPr>
          <w:ilvl w:val="1"/>
          <w:numId w:val="1"/>
        </w:numPr>
        <w:spacing w:line="240" w:lineRule="auto"/>
        <w:ind w:left="993" w:hanging="633"/>
        <w:contextualSpacing w:val="0"/>
      </w:pPr>
      <w:r w:rsidRPr="00FB3306">
        <w:t>The conflict between the new building safety system and the Government’s planning white paper.</w:t>
      </w:r>
      <w:r w:rsidRPr="00324CE2">
        <w:t xml:space="preserve"> </w:t>
      </w:r>
    </w:p>
    <w:p w14:paraId="40C6698F" w14:textId="275A407E" w:rsidR="00DA45A6" w:rsidRPr="00324CE2" w:rsidRDefault="00CD6733" w:rsidP="00CD6733">
      <w:pPr>
        <w:pStyle w:val="ListParagraph"/>
        <w:numPr>
          <w:ilvl w:val="1"/>
          <w:numId w:val="1"/>
        </w:numPr>
        <w:spacing w:line="240" w:lineRule="auto"/>
        <w:ind w:left="993" w:hanging="633"/>
        <w:contextualSpacing w:val="0"/>
      </w:pPr>
      <w:r>
        <w:t>T</w:t>
      </w:r>
      <w:r w:rsidR="00DA45A6" w:rsidRPr="00FB3306">
        <w:t>he adequacy of the product safety provisions.</w:t>
      </w:r>
      <w:r w:rsidR="00DA45A6" w:rsidRPr="00324CE2">
        <w:t xml:space="preserve"> </w:t>
      </w:r>
    </w:p>
    <w:p w14:paraId="4ED1F2B5" w14:textId="2EA7EF2B" w:rsidR="00AC4778" w:rsidRDefault="00B254B2" w:rsidP="007E5755">
      <w:pPr>
        <w:pStyle w:val="ListParagraph"/>
        <w:spacing w:line="240" w:lineRule="auto"/>
        <w:contextualSpacing w:val="0"/>
      </w:pPr>
      <w:r w:rsidRPr="005C761A">
        <w:t>The</w:t>
      </w:r>
      <w:r w:rsidR="00816DF8">
        <w:t xml:space="preserve"> Bill impacts councils and FRAs as regulators and councils as housing providers. The</w:t>
      </w:r>
      <w:r w:rsidRPr="005C761A">
        <w:t xml:space="preserve"> </w:t>
      </w:r>
      <w:r w:rsidR="00AC4778">
        <w:t>main issue</w:t>
      </w:r>
      <w:r w:rsidR="00816DF8">
        <w:t>s</w:t>
      </w:r>
      <w:r w:rsidR="00AC4778">
        <w:t xml:space="preserve"> for</w:t>
      </w:r>
      <w:r w:rsidR="00816DF8">
        <w:t xml:space="preserve"> local regulators</w:t>
      </w:r>
      <w:r w:rsidR="00AC4778">
        <w:t xml:space="preserve"> arising from the Bill are</w:t>
      </w:r>
      <w:r w:rsidR="00146FC4">
        <w:t>:</w:t>
      </w:r>
    </w:p>
    <w:p w14:paraId="1DEA8DE4" w14:textId="7EF1E8DB" w:rsidR="00AC4778" w:rsidRDefault="00AC4778" w:rsidP="00CD6733">
      <w:pPr>
        <w:pStyle w:val="ListParagraph"/>
        <w:numPr>
          <w:ilvl w:val="1"/>
          <w:numId w:val="1"/>
        </w:numPr>
        <w:spacing w:line="240" w:lineRule="auto"/>
        <w:ind w:left="993" w:hanging="633"/>
        <w:contextualSpacing w:val="0"/>
      </w:pPr>
      <w:r>
        <w:t xml:space="preserve">The shortage of expertise both inside the fire and rescue service and in private industry, including but not confined to the shortage of fire </w:t>
      </w:r>
      <w:proofErr w:type="gramStart"/>
      <w:r>
        <w:t>engineers</w:t>
      </w:r>
      <w:r w:rsidR="00264B80">
        <w:t>;</w:t>
      </w:r>
      <w:proofErr w:type="gramEnd"/>
    </w:p>
    <w:p w14:paraId="118868C4" w14:textId="52953E3A" w:rsidR="00264B80" w:rsidRDefault="00264B80" w:rsidP="003A7929">
      <w:pPr>
        <w:pStyle w:val="ListParagraph"/>
        <w:numPr>
          <w:ilvl w:val="1"/>
          <w:numId w:val="1"/>
        </w:numPr>
        <w:spacing w:line="240" w:lineRule="auto"/>
        <w:ind w:left="993" w:hanging="633"/>
        <w:contextualSpacing w:val="0"/>
      </w:pPr>
      <w:r>
        <w:t xml:space="preserve">The funding for training and capacity </w:t>
      </w:r>
      <w:proofErr w:type="gramStart"/>
      <w:r>
        <w:t>increase</w:t>
      </w:r>
      <w:proofErr w:type="gramEnd"/>
      <w:r>
        <w:t xml:space="preserve"> ahead of </w:t>
      </w:r>
      <w:r w:rsidR="00816DF8">
        <w:t>implementation</w:t>
      </w:r>
      <w:r w:rsidR="00146FC4">
        <w:t>;</w:t>
      </w:r>
    </w:p>
    <w:p w14:paraId="625C26BB" w14:textId="562053C8" w:rsidR="00264B80" w:rsidRDefault="00264B80" w:rsidP="003A7929">
      <w:pPr>
        <w:pStyle w:val="ListParagraph"/>
        <w:numPr>
          <w:ilvl w:val="1"/>
          <w:numId w:val="1"/>
        </w:numPr>
        <w:spacing w:line="240" w:lineRule="auto"/>
        <w:ind w:left="993" w:hanging="633"/>
        <w:contextualSpacing w:val="0"/>
      </w:pPr>
      <w:r>
        <w:t xml:space="preserve">The operation of the recharging scheme that allows </w:t>
      </w:r>
      <w:r w:rsidR="00816DF8">
        <w:t xml:space="preserve">councils and </w:t>
      </w:r>
      <w:r>
        <w:t xml:space="preserve">FRSs to reclaim cost of </w:t>
      </w:r>
      <w:r w:rsidR="0017249B">
        <w:t xml:space="preserve">new burdens </w:t>
      </w:r>
      <w:r>
        <w:t xml:space="preserve">BSR work from </w:t>
      </w:r>
      <w:r w:rsidR="0017249B">
        <w:t xml:space="preserve">the </w:t>
      </w:r>
      <w:proofErr w:type="gramStart"/>
      <w:r>
        <w:t>HSE</w:t>
      </w:r>
      <w:r w:rsidR="00146FC4">
        <w:t>;</w:t>
      </w:r>
      <w:proofErr w:type="gramEnd"/>
    </w:p>
    <w:p w14:paraId="2D5CFEBB" w14:textId="1E593725" w:rsidR="00264B80" w:rsidRDefault="00AC4778" w:rsidP="003A7929">
      <w:pPr>
        <w:pStyle w:val="ListParagraph"/>
        <w:numPr>
          <w:ilvl w:val="1"/>
          <w:numId w:val="1"/>
        </w:numPr>
        <w:spacing w:line="240" w:lineRule="auto"/>
        <w:ind w:left="993" w:hanging="633"/>
        <w:contextualSpacing w:val="0"/>
      </w:pPr>
      <w:r>
        <w:t xml:space="preserve">The interaction of the new Bill and </w:t>
      </w:r>
      <w:r w:rsidR="00816DF8">
        <w:t xml:space="preserve">other relevant legislation – the Housing Act, </w:t>
      </w:r>
      <w:r>
        <w:t>the Fire Safety Order/Fire Safety Act</w:t>
      </w:r>
      <w:r w:rsidR="00816DF8">
        <w:t>.</w:t>
      </w:r>
    </w:p>
    <w:p w14:paraId="4FF6B6C1" w14:textId="415BDF44" w:rsidR="003A7929" w:rsidRDefault="00264B80" w:rsidP="00E8460B">
      <w:pPr>
        <w:pStyle w:val="ListParagraph"/>
        <w:numPr>
          <w:ilvl w:val="1"/>
          <w:numId w:val="1"/>
        </w:numPr>
        <w:spacing w:line="240" w:lineRule="auto"/>
        <w:ind w:left="993" w:hanging="633"/>
        <w:contextualSpacing w:val="0"/>
      </w:pPr>
      <w:r>
        <w:t xml:space="preserve">The balance of </w:t>
      </w:r>
      <w:r w:rsidR="00816DF8">
        <w:t xml:space="preserve">democratic accountability for local </w:t>
      </w:r>
      <w:r w:rsidR="00131831">
        <w:t>services</w:t>
      </w:r>
      <w:r>
        <w:t xml:space="preserve"> and the duty to cooperate with </w:t>
      </w:r>
      <w:r w:rsidR="0017249B">
        <w:t xml:space="preserve">the </w:t>
      </w:r>
      <w:r>
        <w:t>HSE</w:t>
      </w:r>
      <w:r w:rsidR="00E8460B">
        <w:t>.</w:t>
      </w:r>
    </w:p>
    <w:p w14:paraId="788A95FE" w14:textId="7C35F7BC" w:rsidR="00DA45A6" w:rsidRDefault="00DA45A6" w:rsidP="007E5755">
      <w:pPr>
        <w:pStyle w:val="ListParagraph"/>
        <w:spacing w:line="240" w:lineRule="auto"/>
        <w:contextualSpacing w:val="0"/>
      </w:pPr>
      <w:r>
        <w:t xml:space="preserve">The </w:t>
      </w:r>
      <w:r w:rsidR="00E8460B">
        <w:t>impact</w:t>
      </w:r>
      <w:r>
        <w:t xml:space="preserve"> of the Bill </w:t>
      </w:r>
      <w:r w:rsidR="00E8460B">
        <w:t xml:space="preserve">also interfaces with </w:t>
      </w:r>
      <w:r>
        <w:t>the impact of the Fire Safety Act (FSA) and associated changes to the Fire Safety Order</w:t>
      </w:r>
      <w:r w:rsidR="00626C83">
        <w:t xml:space="preserve"> (FSO)</w:t>
      </w:r>
      <w:r>
        <w:t>, for example:</w:t>
      </w:r>
    </w:p>
    <w:p w14:paraId="02538C34" w14:textId="415E74AE" w:rsidR="00DA45A6" w:rsidRDefault="00DA45A6" w:rsidP="00450D1E">
      <w:pPr>
        <w:pStyle w:val="ListParagraph"/>
        <w:numPr>
          <w:ilvl w:val="1"/>
          <w:numId w:val="1"/>
        </w:numPr>
        <w:spacing w:line="240" w:lineRule="auto"/>
        <w:ind w:left="993" w:hanging="633"/>
        <w:contextualSpacing w:val="0"/>
      </w:pPr>
      <w:r>
        <w:lastRenderedPageBreak/>
        <w:t xml:space="preserve">The FSA will require </w:t>
      </w:r>
      <w:r w:rsidR="00E8460B">
        <w:t>building owners</w:t>
      </w:r>
      <w:r>
        <w:t xml:space="preserve"> to review fire risk assessments on many residential buildings (a prioritisation tool will allow owners to divide stock between properties that require immediate action, action in the medium term and those that need not alter their cycle of updating risk-assessments).</w:t>
      </w:r>
    </w:p>
    <w:p w14:paraId="5435763B" w14:textId="2563E01F" w:rsidR="00DA45A6" w:rsidRDefault="00DA45A6" w:rsidP="00450D1E">
      <w:pPr>
        <w:pStyle w:val="ListParagraph"/>
        <w:numPr>
          <w:ilvl w:val="1"/>
          <w:numId w:val="1"/>
        </w:numPr>
        <w:spacing w:line="240" w:lineRule="auto"/>
        <w:ind w:left="993" w:hanging="633"/>
        <w:contextualSpacing w:val="0"/>
      </w:pPr>
      <w:r>
        <w:t>Regulations will be introduced later this year relating to premises information boxes; fire door checks and lift checks.</w:t>
      </w:r>
    </w:p>
    <w:p w14:paraId="0399CC26" w14:textId="0538D37A" w:rsidR="00E8460B" w:rsidRDefault="00E8460B" w:rsidP="00450D1E">
      <w:pPr>
        <w:pStyle w:val="ListParagraph"/>
        <w:numPr>
          <w:ilvl w:val="1"/>
          <w:numId w:val="1"/>
        </w:numPr>
        <w:spacing w:line="240" w:lineRule="auto"/>
        <w:ind w:left="993" w:hanging="633"/>
        <w:contextualSpacing w:val="0"/>
      </w:pPr>
      <w:r>
        <w:t>Further announcements are expected from the Home Office on personal emergency evacuation plans</w:t>
      </w:r>
      <w:r w:rsidR="0017249B">
        <w:t xml:space="preserve"> (PEEPs)</w:t>
      </w:r>
      <w:r>
        <w:t xml:space="preserve">. </w:t>
      </w:r>
    </w:p>
    <w:p w14:paraId="37602314" w14:textId="77777777" w:rsidR="00F84741" w:rsidRPr="007A7DC4" w:rsidRDefault="00F84741" w:rsidP="00F84741">
      <w:pPr>
        <w:ind w:left="360" w:hanging="360"/>
        <w:rPr>
          <w:u w:val="single"/>
        </w:rPr>
      </w:pPr>
      <w:r w:rsidRPr="007A7DC4">
        <w:rPr>
          <w:u w:val="single"/>
        </w:rPr>
        <w:t>Funding and the operating model</w:t>
      </w:r>
    </w:p>
    <w:p w14:paraId="7E2E895C" w14:textId="77777777" w:rsidR="00F84741" w:rsidRDefault="00F84741" w:rsidP="007E5755">
      <w:pPr>
        <w:pStyle w:val="ListParagraph"/>
        <w:spacing w:line="240" w:lineRule="auto"/>
        <w:contextualSpacing w:val="0"/>
      </w:pPr>
      <w:r>
        <w:t>The key concern is the balance between the demands to be placed on local regulators and the funding available:</w:t>
      </w:r>
    </w:p>
    <w:p w14:paraId="5A58791E" w14:textId="57E716CC" w:rsidR="00F84741" w:rsidRDefault="00F84741" w:rsidP="00F84741">
      <w:pPr>
        <w:pStyle w:val="ListParagraph"/>
        <w:numPr>
          <w:ilvl w:val="1"/>
          <w:numId w:val="1"/>
        </w:numPr>
        <w:spacing w:line="240" w:lineRule="auto"/>
        <w:ind w:left="993" w:hanging="633"/>
        <w:contextualSpacing w:val="0"/>
      </w:pPr>
      <w:r>
        <w:t>The HSE does not appear to be clear about the extent to which it will rely on local building control and FRS to deliver its inspection and enforcement functions</w:t>
      </w:r>
      <w:r w:rsidR="00967536">
        <w:t xml:space="preserve">, </w:t>
      </w:r>
      <w:r>
        <w:t xml:space="preserve">and the operating model has not been shared with local regulators. </w:t>
      </w:r>
    </w:p>
    <w:p w14:paraId="45C61027" w14:textId="77777777" w:rsidR="00457B15" w:rsidRDefault="00F84741" w:rsidP="00457B15">
      <w:pPr>
        <w:pStyle w:val="ListParagraph"/>
        <w:numPr>
          <w:ilvl w:val="1"/>
          <w:numId w:val="1"/>
        </w:numPr>
        <w:spacing w:line="240" w:lineRule="auto"/>
        <w:ind w:left="993" w:hanging="633"/>
        <w:contextualSpacing w:val="0"/>
      </w:pPr>
      <w:r>
        <w:t xml:space="preserve">Both NFCC and LABC have been </w:t>
      </w:r>
      <w:r w:rsidR="007E5755">
        <w:t>warned</w:t>
      </w:r>
      <w:r>
        <w:t xml:space="preserve"> to expect much lower spending review settlements than would be required to deliver the functions expected of them. </w:t>
      </w:r>
    </w:p>
    <w:p w14:paraId="24A71A88" w14:textId="014CF954" w:rsidR="00F84741" w:rsidRDefault="00F84741" w:rsidP="00457B15">
      <w:pPr>
        <w:pStyle w:val="ListParagraph"/>
        <w:numPr>
          <w:ilvl w:val="2"/>
          <w:numId w:val="1"/>
        </w:numPr>
        <w:spacing w:line="240" w:lineRule="auto"/>
        <w:contextualSpacing w:val="0"/>
      </w:pPr>
      <w:r>
        <w:t xml:space="preserve">This could see local regulators diverted away from </w:t>
      </w:r>
      <w:r w:rsidR="00A654F7">
        <w:t>existing work</w:t>
      </w:r>
      <w:r>
        <w:t xml:space="preserve"> </w:t>
      </w:r>
      <w:proofErr w:type="gramStart"/>
      <w:r>
        <w:t>in order to</w:t>
      </w:r>
      <w:proofErr w:type="gramEnd"/>
      <w:r>
        <w:t xml:space="preserve"> meet their duties under the Building Safety Bill.</w:t>
      </w:r>
      <w:r w:rsidR="00457B15">
        <w:t xml:space="preserve"> </w:t>
      </w:r>
      <w:r w:rsidR="00A654F7">
        <w:t xml:space="preserve">However, there will be </w:t>
      </w:r>
      <w:proofErr w:type="gramStart"/>
      <w:r w:rsidR="00A654F7">
        <w:t>a number of</w:t>
      </w:r>
      <w:proofErr w:type="gramEnd"/>
      <w:r w:rsidR="00A654F7">
        <w:t xml:space="preserve"> buildings not included in the new regime that represent an even higher degree of risk locally. I</w:t>
      </w:r>
      <w:r>
        <w:t xml:space="preserve">f the HSE employees its own fire engineers and building control surveyors, or contracts private companies to deliver its functions, this may have a damaging effect on local services. Both FRSs and local building control need to retain the expertise required to deliver the </w:t>
      </w:r>
      <w:r w:rsidR="00457B15">
        <w:t xml:space="preserve">new </w:t>
      </w:r>
      <w:r>
        <w:t>functions</w:t>
      </w:r>
      <w:r w:rsidR="00457B15">
        <w:t>, and importantly to continue to deliver existing functions.</w:t>
      </w:r>
      <w:r>
        <w:t xml:space="preserve"> </w:t>
      </w:r>
    </w:p>
    <w:p w14:paraId="2866BC68" w14:textId="4D4262AC" w:rsidR="00F84741" w:rsidRDefault="00F84741" w:rsidP="00FE27DB">
      <w:pPr>
        <w:pStyle w:val="ListParagraph"/>
        <w:numPr>
          <w:ilvl w:val="1"/>
          <w:numId w:val="1"/>
        </w:numPr>
        <w:spacing w:line="240" w:lineRule="auto"/>
        <w:ind w:left="993" w:hanging="633"/>
        <w:contextualSpacing w:val="0"/>
      </w:pPr>
      <w:r w:rsidRPr="00F84741">
        <w:t>Once</w:t>
      </w:r>
      <w:r>
        <w:t xml:space="preserve"> cost recovery mechanisms are in place, it is assumed that </w:t>
      </w:r>
      <w:r w:rsidRPr="00666DC7">
        <w:t>70</w:t>
      </w:r>
      <w:r w:rsidR="00440B7D">
        <w:t xml:space="preserve"> per cent</w:t>
      </w:r>
      <w:r w:rsidRPr="00666DC7">
        <w:t xml:space="preserve"> of the cost will be recovered in </w:t>
      </w:r>
      <w:r>
        <w:t xml:space="preserve">the first two </w:t>
      </w:r>
      <w:r w:rsidRPr="00666DC7">
        <w:t>years</w:t>
      </w:r>
      <w:r>
        <w:t xml:space="preserve">, increasing </w:t>
      </w:r>
      <w:r w:rsidRPr="00666DC7">
        <w:t>towards 90</w:t>
      </w:r>
      <w:r w:rsidR="00440B7D">
        <w:t xml:space="preserve"> per cent</w:t>
      </w:r>
      <w:r w:rsidRPr="00666DC7">
        <w:t xml:space="preserve"> </w:t>
      </w:r>
      <w:r>
        <w:t xml:space="preserve">by the third year of cost recovery. However, secondary legislation is required </w:t>
      </w:r>
      <w:proofErr w:type="gramStart"/>
      <w:r>
        <w:t>in order to</w:t>
      </w:r>
      <w:proofErr w:type="gramEnd"/>
      <w:r>
        <w:t xml:space="preserve"> establish cost recovery powers. </w:t>
      </w:r>
      <w:r w:rsidR="007E5755">
        <w:t>T</w:t>
      </w:r>
      <w:r>
        <w:t>his may take an additional year (or longer) to be put in place following Royal Assent. Therefore, cost recovery may not reach 90</w:t>
      </w:r>
      <w:r w:rsidR="00440B7D">
        <w:t xml:space="preserve"> per cent</w:t>
      </w:r>
      <w:r>
        <w:t xml:space="preserve"> until 2026-27 at the </w:t>
      </w:r>
      <w:proofErr w:type="gramStart"/>
      <w:r>
        <w:t>earliest, and</w:t>
      </w:r>
      <w:proofErr w:type="gramEnd"/>
      <w:r>
        <w:t xml:space="preserve"> is never expected to cover more than 90</w:t>
      </w:r>
      <w:r w:rsidR="00440B7D">
        <w:t xml:space="preserve"> per cent</w:t>
      </w:r>
      <w:r>
        <w:t xml:space="preserve">. </w:t>
      </w:r>
    </w:p>
    <w:p w14:paraId="610E8E42" w14:textId="3B0F37DF" w:rsidR="00F84741" w:rsidRDefault="007E5755" w:rsidP="00F84741">
      <w:pPr>
        <w:pStyle w:val="ListParagraph"/>
        <w:numPr>
          <w:ilvl w:val="1"/>
          <w:numId w:val="1"/>
        </w:numPr>
        <w:spacing w:line="240" w:lineRule="auto"/>
        <w:ind w:left="993" w:hanging="633"/>
        <w:contextualSpacing w:val="0"/>
      </w:pPr>
      <w:r>
        <w:t xml:space="preserve">On behalf of English FRSs, </w:t>
      </w:r>
      <w:r w:rsidR="00F84741">
        <w:t xml:space="preserve">NFCC </w:t>
      </w:r>
      <w:r>
        <w:t>have asked</w:t>
      </w:r>
      <w:r w:rsidR="00F84741">
        <w:t xml:space="preserve"> for just over £40m over three years to reach around £20m pa which </w:t>
      </w:r>
      <w:r w:rsidR="0017249B">
        <w:t xml:space="preserve">is estimated to </w:t>
      </w:r>
      <w:r w:rsidR="00F84741">
        <w:t xml:space="preserve">be the cost </w:t>
      </w:r>
      <w:r w:rsidR="0017249B">
        <w:t xml:space="preserve">to FRS </w:t>
      </w:r>
      <w:r w:rsidR="00F84741">
        <w:t>of</w:t>
      </w:r>
      <w:r w:rsidR="0017249B">
        <w:t xml:space="preserve"> the new regime when fully operational</w:t>
      </w:r>
      <w:r w:rsidR="00F84741">
        <w:t xml:space="preserve"> from 2024-5. Its estimates have been agreed by the Home Office, but the bid comes under DLUHC’s </w:t>
      </w:r>
      <w:proofErr w:type="gramStart"/>
      <w:r w:rsidR="00F84741">
        <w:t>budget</w:t>
      </w:r>
      <w:proofErr w:type="gramEnd"/>
      <w:r w:rsidR="00F84741">
        <w:t xml:space="preserve"> and it has been told to expect no more than £7.5m per annum </w:t>
      </w:r>
      <w:r w:rsidR="0017249B">
        <w:t xml:space="preserve">for start-up costs over the </w:t>
      </w:r>
      <w:r w:rsidR="00C31789">
        <w:t xml:space="preserve">three year SR period </w:t>
      </w:r>
      <w:r w:rsidR="00F84741">
        <w:t>(about half of what it needs).</w:t>
      </w:r>
    </w:p>
    <w:p w14:paraId="10BC9D2A" w14:textId="1FE6CADC" w:rsidR="007E5755" w:rsidRDefault="00F84741" w:rsidP="00F84741">
      <w:pPr>
        <w:pStyle w:val="ListParagraph"/>
        <w:numPr>
          <w:ilvl w:val="1"/>
          <w:numId w:val="1"/>
        </w:numPr>
        <w:spacing w:line="240" w:lineRule="auto"/>
        <w:ind w:left="993" w:hanging="633"/>
        <w:contextualSpacing w:val="0"/>
      </w:pPr>
      <w:r>
        <w:t xml:space="preserve">The law is framed in such a way as to oblige regulators to deal with new buildings </w:t>
      </w:r>
      <w:r w:rsidR="00F5613C">
        <w:t xml:space="preserve">therefore </w:t>
      </w:r>
      <w:r>
        <w:t xml:space="preserve">it will be work on existing buildings </w:t>
      </w:r>
      <w:r w:rsidR="00F5613C">
        <w:t xml:space="preserve">which is likely </w:t>
      </w:r>
      <w:r>
        <w:t xml:space="preserve">to be cut. The funding on offer implies </w:t>
      </w:r>
      <w:r w:rsidR="007E5755">
        <w:t>there is a risk that</w:t>
      </w:r>
      <w:r w:rsidR="00F5613C">
        <w:t>:</w:t>
      </w:r>
    </w:p>
    <w:p w14:paraId="70AAB5AE" w14:textId="3BF86612" w:rsidR="007E5755" w:rsidRDefault="007E5755" w:rsidP="00324CE2">
      <w:pPr>
        <w:pStyle w:val="ListParagraph"/>
        <w:numPr>
          <w:ilvl w:val="2"/>
          <w:numId w:val="1"/>
        </w:numPr>
        <w:ind w:left="1474" w:hanging="737"/>
        <w:contextualSpacing w:val="0"/>
      </w:pPr>
      <w:r>
        <w:t xml:space="preserve">The HSE needs to stretch </w:t>
      </w:r>
      <w:r w:rsidR="00F84741">
        <w:t xml:space="preserve">the </w:t>
      </w:r>
      <w:r>
        <w:t xml:space="preserve">Safety Case </w:t>
      </w:r>
      <w:r w:rsidR="00F84741">
        <w:t xml:space="preserve">work </w:t>
      </w:r>
      <w:r>
        <w:t>they are</w:t>
      </w:r>
      <w:r w:rsidR="00F84741">
        <w:t xml:space="preserve"> planning to complete in 5 years</w:t>
      </w:r>
      <w:r>
        <w:t>,</w:t>
      </w:r>
      <w:r w:rsidR="00F84741">
        <w:t xml:space="preserve"> to over a decade</w:t>
      </w:r>
      <w:r>
        <w:t xml:space="preserve">, </w:t>
      </w:r>
      <w:proofErr w:type="gramStart"/>
      <w:r>
        <w:t>or;</w:t>
      </w:r>
      <w:proofErr w:type="gramEnd"/>
      <w:r>
        <w:t xml:space="preserve"> </w:t>
      </w:r>
    </w:p>
    <w:p w14:paraId="1479339C" w14:textId="6388C356" w:rsidR="00F84741" w:rsidRDefault="007E5755" w:rsidP="00324CE2">
      <w:pPr>
        <w:pStyle w:val="ListParagraph"/>
        <w:numPr>
          <w:ilvl w:val="2"/>
          <w:numId w:val="1"/>
        </w:numPr>
        <w:ind w:left="1474" w:hanging="737"/>
        <w:contextualSpacing w:val="0"/>
      </w:pPr>
      <w:r>
        <w:lastRenderedPageBreak/>
        <w:t xml:space="preserve">The HSE may place a greater reliance on local FRSs to implement a higher level of inspections under the FSO than may otherwise be programmed into </w:t>
      </w:r>
      <w:r w:rsidR="00C31789">
        <w:t>Risk Based Inspection Programmes (</w:t>
      </w:r>
      <w:r>
        <w:t>RBIPs</w:t>
      </w:r>
      <w:r w:rsidR="00C31789">
        <w:t>)</w:t>
      </w:r>
      <w:r>
        <w:t xml:space="preserve">. </w:t>
      </w:r>
    </w:p>
    <w:p w14:paraId="49CEB954" w14:textId="5EF54B34" w:rsidR="00FE27DB" w:rsidRPr="00FE27DB" w:rsidRDefault="00FE27DB" w:rsidP="00F84741">
      <w:pPr>
        <w:pStyle w:val="ListParagraph"/>
        <w:numPr>
          <w:ilvl w:val="0"/>
          <w:numId w:val="0"/>
        </w:numPr>
        <w:spacing w:line="240" w:lineRule="auto"/>
        <w:ind w:left="360"/>
        <w:contextualSpacing w:val="0"/>
        <w:rPr>
          <w:u w:val="single"/>
        </w:rPr>
      </w:pPr>
      <w:r w:rsidRPr="00FE27DB">
        <w:rPr>
          <w:u w:val="single"/>
        </w:rPr>
        <w:t xml:space="preserve">Protection staffing </w:t>
      </w:r>
    </w:p>
    <w:p w14:paraId="16418B91" w14:textId="77777777" w:rsidR="00FE27DB" w:rsidRDefault="00FE27DB" w:rsidP="007E5755">
      <w:pPr>
        <w:pStyle w:val="ListParagraph"/>
        <w:spacing w:line="240" w:lineRule="auto"/>
        <w:contextualSpacing w:val="0"/>
      </w:pPr>
      <w:r>
        <w:t xml:space="preserve">Capacity and capability in FRS protection teams has long been a challenge with most facing challenges to resourcing </w:t>
      </w:r>
      <w:proofErr w:type="gramStart"/>
      <w:r>
        <w:t>in order to</w:t>
      </w:r>
      <w:proofErr w:type="gramEnd"/>
      <w:r>
        <w:t xml:space="preserve"> deliver their current FSO obligations. </w:t>
      </w:r>
    </w:p>
    <w:p w14:paraId="591E8EF0" w14:textId="25123C13" w:rsidR="00FE27DB" w:rsidRDefault="00FE27DB" w:rsidP="007E5755">
      <w:pPr>
        <w:pStyle w:val="ListParagraph"/>
        <w:spacing w:line="240" w:lineRule="auto"/>
        <w:contextualSpacing w:val="0"/>
      </w:pPr>
      <w:r>
        <w:t>A protection uplift grant from the Home Office has been in place since t</w:t>
      </w:r>
      <w:r w:rsidRPr="00BE33B4">
        <w:t xml:space="preserve">he last Spending Review </w:t>
      </w:r>
      <w:r>
        <w:t xml:space="preserve">to improve this position and provide a better baseline from which </w:t>
      </w:r>
      <w:r w:rsidR="001E6DE2">
        <w:t xml:space="preserve">to </w:t>
      </w:r>
      <w:r>
        <w:t xml:space="preserve">build additional capacity. Going forwards, FRS’ will need to balance out the demands of both regulatory regimes and it is essential therefore that we ensure they are appropriately resourced to do so. </w:t>
      </w:r>
    </w:p>
    <w:p w14:paraId="5C261FF7" w14:textId="3E302DA1" w:rsidR="00FE27DB" w:rsidRDefault="00FE27DB" w:rsidP="007E5755">
      <w:pPr>
        <w:pStyle w:val="ListParagraph"/>
        <w:spacing w:line="240" w:lineRule="auto"/>
        <w:contextualSpacing w:val="0"/>
      </w:pPr>
      <w:r>
        <w:t>NFCC’s modelling on the impact of the new regime suggests that on average</w:t>
      </w:r>
      <w:r w:rsidR="00416F76">
        <w:t xml:space="preserve"> across England</w:t>
      </w:r>
      <w:r>
        <w:t>, FRSs need to increase their numbers of competent fire safety staff by more than 30</w:t>
      </w:r>
      <w:r w:rsidR="00440B7D">
        <w:t xml:space="preserve"> per cent</w:t>
      </w:r>
      <w:r>
        <w:t xml:space="preserve">. </w:t>
      </w:r>
    </w:p>
    <w:p w14:paraId="01E79980" w14:textId="10BAB0C8" w:rsidR="00416F76" w:rsidRPr="007F534B" w:rsidRDefault="001E6DE2" w:rsidP="007E5755">
      <w:pPr>
        <w:pStyle w:val="ListParagraph"/>
        <w:spacing w:line="240" w:lineRule="auto"/>
        <w:contextualSpacing w:val="0"/>
        <w:rPr>
          <w:rFonts w:cs="Arial"/>
        </w:rPr>
      </w:pPr>
      <w:r w:rsidRPr="007F534B">
        <w:rPr>
          <w:rFonts w:cs="Arial"/>
        </w:rPr>
        <w:t>NFCC continue to make representation for continuation of the Protection Uplift grant, but it is not yet known if this will continue. I</w:t>
      </w:r>
      <w:r w:rsidR="00416F76" w:rsidRPr="007F534B">
        <w:rPr>
          <w:rFonts w:cs="Arial"/>
        </w:rPr>
        <w:t xml:space="preserve">n preparing bids for increased protection funding, NFCC face </w:t>
      </w:r>
      <w:r w:rsidRPr="007F534B">
        <w:rPr>
          <w:rFonts w:cs="Arial"/>
        </w:rPr>
        <w:t>significant</w:t>
      </w:r>
      <w:r w:rsidR="00416F76" w:rsidRPr="007F534B">
        <w:rPr>
          <w:rFonts w:cs="Arial"/>
        </w:rPr>
        <w:t xml:space="preserve"> challenge back from central government about the division and balance of protection funding decisions which are made locally. This is particularly the case when </w:t>
      </w:r>
      <w:r w:rsidRPr="007F534B">
        <w:rPr>
          <w:rFonts w:cs="Arial"/>
        </w:rPr>
        <w:t xml:space="preserve">the Home Office </w:t>
      </w:r>
      <w:r w:rsidR="00416F76" w:rsidRPr="007F534B">
        <w:rPr>
          <w:rFonts w:cs="Arial"/>
        </w:rPr>
        <w:t>compar</w:t>
      </w:r>
      <w:r w:rsidRPr="007F534B">
        <w:rPr>
          <w:rFonts w:cs="Arial"/>
        </w:rPr>
        <w:t>es</w:t>
      </w:r>
      <w:r w:rsidR="00416F76" w:rsidRPr="007F534B">
        <w:rPr>
          <w:rFonts w:cs="Arial"/>
        </w:rPr>
        <w:t xml:space="preserve"> local protection </w:t>
      </w:r>
      <w:r w:rsidRPr="007F534B">
        <w:rPr>
          <w:rFonts w:cs="Arial"/>
        </w:rPr>
        <w:t xml:space="preserve">funding decisions </w:t>
      </w:r>
      <w:r w:rsidR="00416F76" w:rsidRPr="007F534B">
        <w:rPr>
          <w:rFonts w:cs="Arial"/>
        </w:rPr>
        <w:t xml:space="preserve">to budgets </w:t>
      </w:r>
      <w:r w:rsidRPr="007F534B">
        <w:rPr>
          <w:rFonts w:cs="Arial"/>
        </w:rPr>
        <w:t xml:space="preserve">which are allocated </w:t>
      </w:r>
      <w:r w:rsidR="00416F76" w:rsidRPr="007F534B">
        <w:rPr>
          <w:rFonts w:cs="Arial"/>
        </w:rPr>
        <w:t>for operational response functions. This is</w:t>
      </w:r>
      <w:r w:rsidR="004847D8" w:rsidRPr="007F534B">
        <w:rPr>
          <w:rFonts w:cs="Arial"/>
        </w:rPr>
        <w:t xml:space="preserve"> also</w:t>
      </w:r>
      <w:r w:rsidR="00416F76" w:rsidRPr="007F534B">
        <w:rPr>
          <w:rFonts w:cs="Arial"/>
        </w:rPr>
        <w:t xml:space="preserve"> likely to become an increasing area of priority for HMICFRS.  </w:t>
      </w:r>
    </w:p>
    <w:p w14:paraId="16A775B4" w14:textId="4510186D" w:rsidR="001E6DE2" w:rsidRPr="007F534B" w:rsidRDefault="001E6DE2" w:rsidP="00B03C74">
      <w:pPr>
        <w:ind w:left="0" w:firstLine="0"/>
        <w:rPr>
          <w:rFonts w:cs="Arial"/>
          <w:i/>
          <w:iCs/>
        </w:rPr>
      </w:pPr>
      <w:r w:rsidRPr="007F534B">
        <w:rPr>
          <w:rFonts w:cs="Arial"/>
          <w:i/>
          <w:iCs/>
        </w:rPr>
        <w:t xml:space="preserve">Risks </w:t>
      </w:r>
    </w:p>
    <w:p w14:paraId="4ED368DB" w14:textId="5F07002A" w:rsidR="00DE64C0" w:rsidRPr="007F534B" w:rsidRDefault="00D517DE" w:rsidP="00DE64C0">
      <w:pPr>
        <w:pStyle w:val="ListParagraph"/>
        <w:spacing w:line="240" w:lineRule="auto"/>
        <w:contextualSpacing w:val="0"/>
        <w:rPr>
          <w:rFonts w:eastAsia="Times New Roman" w:cs="Arial"/>
          <w:lang w:eastAsia="en-GB"/>
        </w:rPr>
      </w:pPr>
      <w:r w:rsidRPr="00D517DE">
        <w:rPr>
          <w:rFonts w:cs="Arial"/>
        </w:rPr>
        <w:t>In</w:t>
      </w:r>
      <w:r w:rsidRPr="00D517DE">
        <w:rPr>
          <w:rFonts w:eastAsia="Times New Roman" w:cs="Arial"/>
          <w:lang w:eastAsia="en-GB"/>
        </w:rPr>
        <w:t xml:space="preserve"> 2011 the Department for Communities and Local Government (DCLG) published </w:t>
      </w:r>
      <w:hyperlink r:id="rId18" w:tgtFrame="_blank" w:history="1">
        <w:r w:rsidRPr="00D517DE">
          <w:rPr>
            <w:rFonts w:eastAsia="Times New Roman" w:cs="Arial"/>
            <w:color w:val="0563C1"/>
            <w:u w:val="single"/>
            <w:lang w:eastAsia="en-GB"/>
          </w:rPr>
          <w:t>new burdens doctrine – guidance for government departments</w:t>
        </w:r>
      </w:hyperlink>
      <w:r w:rsidRPr="00D517DE">
        <w:rPr>
          <w:rFonts w:eastAsia="Times New Roman" w:cs="Arial"/>
          <w:lang w:eastAsia="en-GB"/>
        </w:rPr>
        <w:t xml:space="preserve">. Under this doctrine, the Cabinet agreed that to ensure the pressure on council tax is kept down, the net additional cost of all new burdens placed on local authorities (including fire and rescue authorities) by central Government must be assessed and </w:t>
      </w:r>
      <w:r w:rsidRPr="00D517DE">
        <w:rPr>
          <w:rFonts w:eastAsia="Times New Roman" w:cs="Arial"/>
          <w:i/>
          <w:iCs/>
          <w:lang w:eastAsia="en-GB"/>
        </w:rPr>
        <w:t>fully and properly funded</w:t>
      </w:r>
      <w:r w:rsidRPr="00D517DE">
        <w:rPr>
          <w:rFonts w:eastAsia="Times New Roman" w:cs="Arial"/>
          <w:lang w:eastAsia="en-GB"/>
        </w:rPr>
        <w:t xml:space="preserve">. </w:t>
      </w:r>
    </w:p>
    <w:p w14:paraId="2E9D2497" w14:textId="6BFC333A" w:rsidR="00DE64C0" w:rsidRPr="007F534B" w:rsidRDefault="00D517DE" w:rsidP="00DE64C0">
      <w:pPr>
        <w:pStyle w:val="ListParagraph"/>
        <w:spacing w:line="240" w:lineRule="auto"/>
        <w:contextualSpacing w:val="0"/>
        <w:rPr>
          <w:rFonts w:eastAsia="Times New Roman" w:cs="Arial"/>
          <w:lang w:eastAsia="en-GB"/>
        </w:rPr>
      </w:pPr>
      <w:r w:rsidRPr="00D517DE">
        <w:rPr>
          <w:rFonts w:eastAsia="Times New Roman" w:cs="Arial"/>
          <w:lang w:eastAsia="en-GB"/>
        </w:rPr>
        <w:t xml:space="preserve">The doctrine defines a new burden as </w:t>
      </w:r>
      <w:r w:rsidRPr="00D517DE">
        <w:rPr>
          <w:rFonts w:eastAsia="Times New Roman" w:cs="Arial"/>
          <w:i/>
          <w:iCs/>
          <w:lang w:eastAsia="en-GB"/>
        </w:rPr>
        <w:t>any policy or initiative which increases the cost of providing local authority services</w:t>
      </w:r>
      <w:r w:rsidRPr="00D517DE">
        <w:rPr>
          <w:rFonts w:eastAsia="Times New Roman" w:cs="Arial"/>
          <w:lang w:eastAsia="en-GB"/>
        </w:rPr>
        <w:t>. This includes duties, powers, or any other changes which may place an expectation on an FRA.</w:t>
      </w:r>
      <w:r w:rsidR="007F534B" w:rsidRPr="007F534B">
        <w:rPr>
          <w:rFonts w:eastAsia="Times New Roman" w:cs="Arial"/>
          <w:lang w:eastAsia="en-GB"/>
        </w:rPr>
        <w:t xml:space="preserve"> </w:t>
      </w:r>
      <w:r w:rsidR="00DE64C0" w:rsidRPr="00D517DE">
        <w:rPr>
          <w:rFonts w:eastAsia="Times New Roman" w:cs="Arial"/>
          <w:lang w:eastAsia="en-GB"/>
        </w:rPr>
        <w:t xml:space="preserve">In the context of the </w:t>
      </w:r>
      <w:r w:rsidR="007F534B">
        <w:rPr>
          <w:rFonts w:eastAsia="Times New Roman" w:cs="Arial"/>
          <w:lang w:eastAsia="en-GB"/>
        </w:rPr>
        <w:t>B</w:t>
      </w:r>
      <w:r w:rsidR="00FF7B59">
        <w:rPr>
          <w:rFonts w:eastAsia="Times New Roman" w:cs="Arial"/>
          <w:lang w:eastAsia="en-GB"/>
        </w:rPr>
        <w:t>ill</w:t>
      </w:r>
      <w:r w:rsidR="00DE64C0" w:rsidRPr="007F534B">
        <w:rPr>
          <w:rFonts w:eastAsia="Times New Roman" w:cs="Arial"/>
          <w:lang w:eastAsia="en-GB"/>
        </w:rPr>
        <w:t xml:space="preserve"> </w:t>
      </w:r>
      <w:r w:rsidR="00DE64C0" w:rsidRPr="00D517DE">
        <w:rPr>
          <w:rFonts w:eastAsia="Times New Roman" w:cs="Arial"/>
          <w:lang w:eastAsia="en-GB"/>
        </w:rPr>
        <w:t>this responsibility falls to DLUHC. </w:t>
      </w:r>
    </w:p>
    <w:p w14:paraId="60741846" w14:textId="74012CF1" w:rsidR="007F534B" w:rsidRPr="007F534B" w:rsidRDefault="007F534B" w:rsidP="007F534B">
      <w:pPr>
        <w:pStyle w:val="ListParagraph"/>
        <w:rPr>
          <w:rFonts w:cs="Arial"/>
          <w:lang w:eastAsia="en-GB"/>
        </w:rPr>
      </w:pPr>
      <w:r w:rsidRPr="007F534B">
        <w:rPr>
          <w:rFonts w:cs="Arial"/>
          <w:lang w:eastAsia="en-GB"/>
        </w:rPr>
        <w:t>Section 13 of the</w:t>
      </w:r>
      <w:r>
        <w:rPr>
          <w:rFonts w:cs="Arial"/>
          <w:lang w:eastAsia="en-GB"/>
        </w:rPr>
        <w:t xml:space="preserve"> Bill</w:t>
      </w:r>
      <w:r w:rsidRPr="007F534B">
        <w:rPr>
          <w:rFonts w:cs="Arial"/>
          <w:lang w:eastAsia="en-GB"/>
        </w:rPr>
        <w:t xml:space="preserve"> contains provisions that would enable the BSR to direct </w:t>
      </w:r>
      <w:proofErr w:type="gramStart"/>
      <w:r w:rsidRPr="007F534B">
        <w:rPr>
          <w:rFonts w:cs="Arial"/>
          <w:lang w:eastAsia="en-GB"/>
        </w:rPr>
        <w:t>a</w:t>
      </w:r>
      <w:proofErr w:type="gramEnd"/>
      <w:r w:rsidRPr="007F534B">
        <w:rPr>
          <w:rFonts w:cs="Arial"/>
          <w:lang w:eastAsia="en-GB"/>
        </w:rPr>
        <w:t xml:space="preserve"> FRS to “do anything specified in the direction”. The Bill provides powers for an FRS to do anything for the purpose of facilitating the exercise of </w:t>
      </w:r>
      <w:r w:rsidRPr="007F534B">
        <w:rPr>
          <w:rFonts w:cs="Arial"/>
          <w:i/>
          <w:iCs/>
          <w:lang w:eastAsia="en-GB"/>
        </w:rPr>
        <w:t>relevant functions</w:t>
      </w:r>
      <w:r w:rsidRPr="007F534B">
        <w:rPr>
          <w:rFonts w:cs="Arial"/>
          <w:lang w:eastAsia="en-GB"/>
        </w:rPr>
        <w:t>. </w:t>
      </w:r>
    </w:p>
    <w:p w14:paraId="65A27590" w14:textId="77777777" w:rsidR="007F534B" w:rsidRPr="007F534B" w:rsidRDefault="007F534B" w:rsidP="007F534B">
      <w:pPr>
        <w:pStyle w:val="ListParagraph"/>
        <w:numPr>
          <w:ilvl w:val="0"/>
          <w:numId w:val="0"/>
        </w:numPr>
        <w:ind w:left="360"/>
        <w:rPr>
          <w:rFonts w:cs="Arial"/>
          <w:lang w:eastAsia="en-GB"/>
        </w:rPr>
      </w:pPr>
    </w:p>
    <w:p w14:paraId="67EFB00F" w14:textId="48626E3D" w:rsidR="00D517DE" w:rsidRPr="00D517DE" w:rsidRDefault="00DE64C0" w:rsidP="00DE64C0">
      <w:pPr>
        <w:pStyle w:val="ListParagraph"/>
        <w:spacing w:line="240" w:lineRule="auto"/>
        <w:contextualSpacing w:val="0"/>
        <w:rPr>
          <w:rFonts w:eastAsia="Times New Roman" w:cs="Arial"/>
          <w:lang w:eastAsia="en-GB"/>
        </w:rPr>
      </w:pPr>
      <w:r w:rsidRPr="007F534B">
        <w:rPr>
          <w:rFonts w:cs="Arial"/>
        </w:rPr>
        <w:t>S</w:t>
      </w:r>
      <w:r w:rsidR="00D517DE" w:rsidRPr="00D517DE">
        <w:rPr>
          <w:rFonts w:cs="Arial"/>
        </w:rPr>
        <w:t>hould</w:t>
      </w:r>
      <w:r w:rsidR="00D517DE" w:rsidRPr="00D517DE">
        <w:rPr>
          <w:rFonts w:eastAsia="Times New Roman" w:cs="Arial"/>
          <w:lang w:eastAsia="en-GB"/>
        </w:rPr>
        <w:t xml:space="preserve"> the BSR ‘direct’ </w:t>
      </w:r>
      <w:proofErr w:type="gramStart"/>
      <w:r w:rsidR="00D517DE" w:rsidRPr="00D517DE">
        <w:rPr>
          <w:rFonts w:eastAsia="Times New Roman" w:cs="Arial"/>
          <w:lang w:eastAsia="en-GB"/>
        </w:rPr>
        <w:t>a</w:t>
      </w:r>
      <w:proofErr w:type="gramEnd"/>
      <w:r w:rsidR="00D517DE" w:rsidRPr="00D517DE">
        <w:rPr>
          <w:rFonts w:eastAsia="Times New Roman" w:cs="Arial"/>
          <w:lang w:eastAsia="en-GB"/>
        </w:rPr>
        <w:t xml:space="preserve"> FR</w:t>
      </w:r>
      <w:r w:rsidR="00B73FB3">
        <w:rPr>
          <w:rFonts w:eastAsia="Times New Roman" w:cs="Arial"/>
          <w:lang w:eastAsia="en-GB"/>
        </w:rPr>
        <w:t>S</w:t>
      </w:r>
      <w:r w:rsidR="00D517DE" w:rsidRPr="00D517DE">
        <w:rPr>
          <w:rFonts w:eastAsia="Times New Roman" w:cs="Arial"/>
          <w:lang w:eastAsia="en-GB"/>
        </w:rPr>
        <w:t xml:space="preserve"> to take action that goes beyond the commitments of its IRMP without fully funding the cost of doing so, FRAs may need to choose between a number of statutory duties, without having the funding to support them all.  </w:t>
      </w:r>
    </w:p>
    <w:p w14:paraId="1278B35C" w14:textId="2CD691D3" w:rsidR="00D517DE" w:rsidRPr="00D517DE" w:rsidRDefault="00D517DE" w:rsidP="00DE64C0">
      <w:pPr>
        <w:pStyle w:val="ListParagraph"/>
        <w:spacing w:line="240" w:lineRule="auto"/>
        <w:contextualSpacing w:val="0"/>
        <w:rPr>
          <w:rFonts w:eastAsia="Times New Roman" w:cs="Arial"/>
          <w:lang w:eastAsia="en-GB"/>
        </w:rPr>
      </w:pPr>
      <w:r w:rsidRPr="00D517DE">
        <w:rPr>
          <w:rFonts w:cs="Arial"/>
        </w:rPr>
        <w:t>They</w:t>
      </w:r>
      <w:r w:rsidRPr="00D517DE">
        <w:rPr>
          <w:rFonts w:eastAsia="Times New Roman" w:cs="Arial"/>
          <w:lang w:eastAsia="en-GB"/>
        </w:rPr>
        <w:t xml:space="preserve"> may therefore need </w:t>
      </w:r>
      <w:r w:rsidR="00F5613C">
        <w:rPr>
          <w:rFonts w:eastAsia="Times New Roman" w:cs="Arial"/>
          <w:lang w:eastAsia="en-GB"/>
        </w:rPr>
        <w:t xml:space="preserve">to </w:t>
      </w:r>
      <w:r w:rsidRPr="00D517DE">
        <w:rPr>
          <w:rFonts w:eastAsia="Times New Roman" w:cs="Arial"/>
          <w:lang w:eastAsia="en-GB"/>
        </w:rPr>
        <w:t xml:space="preserve">consider their priorities and select which statutory duties will be met, and those which will not. Therefore, in weighing-up the risks, they choose to put aside the direction issued by the </w:t>
      </w:r>
      <w:proofErr w:type="spellStart"/>
      <w:r w:rsidRPr="00D517DE">
        <w:rPr>
          <w:rFonts w:eastAsia="Times New Roman" w:cs="Arial"/>
          <w:lang w:eastAsia="en-GB"/>
        </w:rPr>
        <w:t>SoS</w:t>
      </w:r>
      <w:proofErr w:type="spellEnd"/>
      <w:r w:rsidRPr="00D517DE">
        <w:rPr>
          <w:rFonts w:eastAsia="Times New Roman" w:cs="Arial"/>
          <w:lang w:eastAsia="en-GB"/>
        </w:rPr>
        <w:t xml:space="preserve"> under the BSA. </w:t>
      </w:r>
    </w:p>
    <w:p w14:paraId="0DF53E2A" w14:textId="7D1623D7" w:rsidR="00D517DE" w:rsidRPr="00D517DE" w:rsidRDefault="007F534B" w:rsidP="00DE64C0">
      <w:pPr>
        <w:pStyle w:val="ListParagraph"/>
        <w:spacing w:line="240" w:lineRule="auto"/>
        <w:contextualSpacing w:val="0"/>
        <w:rPr>
          <w:rFonts w:eastAsia="Times New Roman" w:cs="Arial"/>
          <w:lang w:eastAsia="en-GB"/>
        </w:rPr>
      </w:pPr>
      <w:r>
        <w:rPr>
          <w:rFonts w:eastAsia="Times New Roman" w:cs="Arial"/>
          <w:lang w:eastAsia="en-GB"/>
        </w:rPr>
        <w:t>T</w:t>
      </w:r>
      <w:r w:rsidR="00D517DE" w:rsidRPr="00D517DE">
        <w:rPr>
          <w:rFonts w:eastAsia="Times New Roman" w:cs="Arial"/>
          <w:lang w:eastAsia="en-GB"/>
        </w:rPr>
        <w:t>his may involve diverting protection resources provided by the FRA to meet requirements in an IRMP/RBIP (</w:t>
      </w:r>
      <w:proofErr w:type="gramStart"/>
      <w:r w:rsidR="00D517DE" w:rsidRPr="00D517DE">
        <w:rPr>
          <w:rFonts w:eastAsia="Times New Roman" w:cs="Arial"/>
          <w:lang w:eastAsia="en-GB"/>
        </w:rPr>
        <w:t>e.g.</w:t>
      </w:r>
      <w:proofErr w:type="gramEnd"/>
      <w:r w:rsidR="00D517DE" w:rsidRPr="00D517DE">
        <w:rPr>
          <w:rFonts w:eastAsia="Times New Roman" w:cs="Arial"/>
          <w:lang w:eastAsia="en-GB"/>
        </w:rPr>
        <w:t xml:space="preserve"> audit of high-risk premises that is not in-scope of the </w:t>
      </w:r>
      <w:r w:rsidR="00D517DE" w:rsidRPr="00D517DE">
        <w:rPr>
          <w:rFonts w:eastAsia="Times New Roman" w:cs="Arial"/>
          <w:lang w:eastAsia="en-GB"/>
        </w:rPr>
        <w:lastRenderedPageBreak/>
        <w:t>BSR) across to undertake activities required by the BSR. This would result in a pre-planned audit of a high-risk premises not being carried out as planned by the FRS, in accordance with its RBIP. </w:t>
      </w:r>
    </w:p>
    <w:p w14:paraId="08BDD5FB" w14:textId="69946BA0" w:rsidR="00D517DE" w:rsidRPr="00D517DE" w:rsidRDefault="00D517DE" w:rsidP="00DE64C0">
      <w:pPr>
        <w:pStyle w:val="ListParagraph"/>
        <w:spacing w:line="240" w:lineRule="auto"/>
        <w:contextualSpacing w:val="0"/>
        <w:rPr>
          <w:rFonts w:eastAsia="Times New Roman" w:cs="Arial"/>
          <w:lang w:eastAsia="en-GB"/>
        </w:rPr>
      </w:pPr>
      <w:r w:rsidRPr="00D517DE">
        <w:rPr>
          <w:rFonts w:cs="Arial"/>
        </w:rPr>
        <w:t>A</w:t>
      </w:r>
      <w:r w:rsidR="007F534B">
        <w:rPr>
          <w:rFonts w:cs="Arial"/>
        </w:rPr>
        <w:t>lternatively</w:t>
      </w:r>
      <w:r w:rsidRPr="00D517DE">
        <w:rPr>
          <w:rFonts w:eastAsia="Times New Roman" w:cs="Arial"/>
          <w:lang w:eastAsia="en-GB"/>
        </w:rPr>
        <w:t>, this may involve diverting operational resources (</w:t>
      </w:r>
      <w:proofErr w:type="gramStart"/>
      <w:r w:rsidRPr="00D517DE">
        <w:rPr>
          <w:rFonts w:eastAsia="Times New Roman" w:cs="Arial"/>
          <w:lang w:eastAsia="en-GB"/>
        </w:rPr>
        <w:t>e.g.</w:t>
      </w:r>
      <w:proofErr w:type="gramEnd"/>
      <w:r w:rsidRPr="00D517DE">
        <w:rPr>
          <w:rFonts w:eastAsia="Times New Roman" w:cs="Arial"/>
          <w:lang w:eastAsia="en-GB"/>
        </w:rPr>
        <w:t xml:space="preserve"> closing a fire station) to free-up the finances needed to support the work directed by the BSR, again in conflict with requirements in the IRMP. This could result in failure to provide the level of operational cover prescribed in an IRMP, and possibly a failure to achieve an appropriate attendance time, with subsequent loss of life. </w:t>
      </w:r>
    </w:p>
    <w:p w14:paraId="1585E1F8" w14:textId="41B173ED" w:rsidR="00D517DE" w:rsidRDefault="007F534B" w:rsidP="00DE64C0">
      <w:pPr>
        <w:pStyle w:val="ListParagraph"/>
        <w:spacing w:line="240" w:lineRule="auto"/>
        <w:contextualSpacing w:val="0"/>
        <w:rPr>
          <w:rFonts w:eastAsia="Times New Roman" w:cs="Arial"/>
          <w:lang w:eastAsia="en-GB"/>
        </w:rPr>
      </w:pPr>
      <w:r>
        <w:rPr>
          <w:rFonts w:eastAsia="Times New Roman" w:cs="Arial"/>
          <w:lang w:eastAsia="en-GB"/>
        </w:rPr>
        <w:t>B</w:t>
      </w:r>
      <w:r w:rsidR="00D517DE" w:rsidRPr="00D517DE">
        <w:rPr>
          <w:rFonts w:eastAsia="Times New Roman" w:cs="Arial"/>
          <w:lang w:eastAsia="en-GB"/>
        </w:rPr>
        <w:t xml:space="preserve">efore a direction may be given by the </w:t>
      </w:r>
      <w:proofErr w:type="spellStart"/>
      <w:r w:rsidR="00D517DE" w:rsidRPr="00D517DE">
        <w:rPr>
          <w:rFonts w:eastAsia="Times New Roman" w:cs="Arial"/>
          <w:lang w:eastAsia="en-GB"/>
        </w:rPr>
        <w:t>SoS</w:t>
      </w:r>
      <w:proofErr w:type="spellEnd"/>
      <w:r w:rsidR="00D517DE" w:rsidRPr="00D517DE">
        <w:rPr>
          <w:rFonts w:eastAsia="Times New Roman" w:cs="Arial"/>
          <w:lang w:eastAsia="en-GB"/>
        </w:rPr>
        <w:t>, the B</w:t>
      </w:r>
      <w:r w:rsidR="00DE64C0" w:rsidRPr="007F534B">
        <w:rPr>
          <w:rFonts w:eastAsia="Times New Roman" w:cs="Arial"/>
          <w:lang w:eastAsia="en-GB"/>
        </w:rPr>
        <w:t xml:space="preserve">ill as drafted </w:t>
      </w:r>
      <w:r w:rsidR="00D517DE" w:rsidRPr="00D517DE">
        <w:rPr>
          <w:rFonts w:eastAsia="Times New Roman" w:cs="Arial"/>
          <w:lang w:eastAsia="en-GB"/>
        </w:rPr>
        <w:t xml:space="preserve">requires the BSR to first make a written request of the </w:t>
      </w:r>
      <w:proofErr w:type="gramStart"/>
      <w:r w:rsidR="00D517DE" w:rsidRPr="00D517DE">
        <w:rPr>
          <w:rFonts w:eastAsia="Times New Roman" w:cs="Arial"/>
          <w:lang w:eastAsia="en-GB"/>
        </w:rPr>
        <w:t>FRA, and</w:t>
      </w:r>
      <w:proofErr w:type="gramEnd"/>
      <w:r w:rsidR="00D517DE" w:rsidRPr="00D517DE">
        <w:rPr>
          <w:rFonts w:eastAsia="Times New Roman" w:cs="Arial"/>
          <w:lang w:eastAsia="en-GB"/>
        </w:rPr>
        <w:t xml:space="preserve"> requires the BSR to have regard to any written representation received from the FRA in response. Where an FRA considers that a proposed directive is likely to have an adverse effect on the FRA’s IRMP, such as in situations </w:t>
      </w:r>
      <w:proofErr w:type="gramStart"/>
      <w:r w:rsidR="00D517DE" w:rsidRPr="00D517DE">
        <w:rPr>
          <w:rFonts w:eastAsia="Times New Roman" w:cs="Arial"/>
          <w:lang w:eastAsia="en-GB"/>
        </w:rPr>
        <w:t>similar to</w:t>
      </w:r>
      <w:proofErr w:type="gramEnd"/>
      <w:r w:rsidR="00D517DE" w:rsidRPr="00D517DE">
        <w:rPr>
          <w:rFonts w:eastAsia="Times New Roman" w:cs="Arial"/>
          <w:lang w:eastAsia="en-GB"/>
        </w:rPr>
        <w:t xml:space="preserve"> those examples outlined above, it would be reasonable to expect that the BSR would not proceed to ask the </w:t>
      </w:r>
      <w:proofErr w:type="spellStart"/>
      <w:r w:rsidR="00D517DE" w:rsidRPr="00D517DE">
        <w:rPr>
          <w:rFonts w:eastAsia="Times New Roman" w:cs="Arial"/>
          <w:lang w:eastAsia="en-GB"/>
        </w:rPr>
        <w:t>SoS</w:t>
      </w:r>
      <w:proofErr w:type="spellEnd"/>
      <w:r w:rsidR="00D517DE" w:rsidRPr="00D517DE">
        <w:rPr>
          <w:rFonts w:eastAsia="Times New Roman" w:cs="Arial"/>
          <w:lang w:eastAsia="en-GB"/>
        </w:rPr>
        <w:t xml:space="preserve"> to issue a directive</w:t>
      </w:r>
      <w:r w:rsidR="00DE64C0" w:rsidRPr="007F534B">
        <w:rPr>
          <w:rFonts w:eastAsia="Times New Roman" w:cs="Arial"/>
          <w:lang w:eastAsia="en-GB"/>
        </w:rPr>
        <w:t>.</w:t>
      </w:r>
    </w:p>
    <w:p w14:paraId="4FB91F2B" w14:textId="3454C9B1" w:rsidR="007F534B" w:rsidRPr="007F534B" w:rsidRDefault="007F534B" w:rsidP="007F534B">
      <w:pPr>
        <w:pStyle w:val="ListParagraph"/>
        <w:numPr>
          <w:ilvl w:val="0"/>
          <w:numId w:val="0"/>
        </w:numPr>
        <w:spacing w:line="240" w:lineRule="auto"/>
        <w:ind w:left="360"/>
        <w:contextualSpacing w:val="0"/>
        <w:rPr>
          <w:rFonts w:eastAsia="Times New Roman" w:cs="Arial"/>
          <w:i/>
          <w:iCs/>
          <w:lang w:eastAsia="en-GB"/>
        </w:rPr>
      </w:pPr>
      <w:r w:rsidRPr="007F534B">
        <w:rPr>
          <w:rFonts w:eastAsia="Times New Roman" w:cs="Arial"/>
          <w:i/>
          <w:iCs/>
          <w:lang w:eastAsia="en-GB"/>
        </w:rPr>
        <w:t>Opportunity cost</w:t>
      </w:r>
      <w:r>
        <w:rPr>
          <w:rFonts w:eastAsia="Times New Roman" w:cs="Arial"/>
          <w:i/>
          <w:iCs/>
          <w:lang w:eastAsia="en-GB"/>
        </w:rPr>
        <w:t xml:space="preserve"> estimates </w:t>
      </w:r>
      <w:r w:rsidRPr="007F534B">
        <w:rPr>
          <w:rFonts w:eastAsia="Times New Roman" w:cs="Arial"/>
          <w:i/>
          <w:iCs/>
          <w:lang w:eastAsia="en-GB"/>
        </w:rPr>
        <w:t xml:space="preserve"> </w:t>
      </w:r>
    </w:p>
    <w:tbl>
      <w:tblPr>
        <w:tblW w:w="8647" w:type="dxa"/>
        <w:jc w:val="center"/>
        <w:tblLook w:val="04A0" w:firstRow="1" w:lastRow="0" w:firstColumn="1" w:lastColumn="0" w:noHBand="0" w:noVBand="1"/>
      </w:tblPr>
      <w:tblGrid>
        <w:gridCol w:w="2268"/>
        <w:gridCol w:w="993"/>
        <w:gridCol w:w="992"/>
        <w:gridCol w:w="992"/>
        <w:gridCol w:w="992"/>
        <w:gridCol w:w="1134"/>
        <w:gridCol w:w="1276"/>
      </w:tblGrid>
      <w:tr w:rsidR="001E6DE2" w:rsidRPr="002A2658" w14:paraId="138AFD59" w14:textId="77777777" w:rsidTr="00603FD8">
        <w:trPr>
          <w:trHeight w:val="617"/>
          <w:jc w:val="center"/>
        </w:trPr>
        <w:tc>
          <w:tcPr>
            <w:tcW w:w="8647" w:type="dxa"/>
            <w:gridSpan w:val="7"/>
            <w:tcBorders>
              <w:top w:val="nil"/>
              <w:left w:val="nil"/>
              <w:bottom w:val="nil"/>
              <w:right w:val="nil"/>
            </w:tcBorders>
            <w:shd w:val="clear" w:color="auto" w:fill="E7E6E6" w:themeFill="background2"/>
            <w:vAlign w:val="center"/>
            <w:hideMark/>
          </w:tcPr>
          <w:p w14:paraId="315B3848" w14:textId="4BE85E2E" w:rsidR="001E6DE2" w:rsidRPr="00A12168" w:rsidRDefault="00B03C74" w:rsidP="00603FD8">
            <w:pPr>
              <w:spacing w:after="0" w:line="240" w:lineRule="auto"/>
              <w:rPr>
                <w:rFonts w:eastAsia="Times New Roman" w:cs="Arial"/>
                <w:b/>
                <w:bCs/>
                <w:color w:val="000000"/>
                <w:sz w:val="20"/>
                <w:szCs w:val="20"/>
                <w:lang w:eastAsia="en-GB"/>
              </w:rPr>
            </w:pPr>
            <w:r w:rsidRPr="00A12168">
              <w:rPr>
                <w:rFonts w:eastAsia="Times New Roman" w:cs="Arial"/>
                <w:b/>
                <w:bCs/>
                <w:color w:val="000000"/>
                <w:sz w:val="20"/>
                <w:szCs w:val="20"/>
                <w:lang w:eastAsia="en-GB"/>
              </w:rPr>
              <w:t xml:space="preserve">  Estimated </w:t>
            </w:r>
            <w:r w:rsidR="001E6DE2" w:rsidRPr="00A12168">
              <w:rPr>
                <w:rFonts w:eastAsia="Times New Roman" w:cs="Arial"/>
                <w:b/>
                <w:bCs/>
                <w:color w:val="000000"/>
                <w:sz w:val="20"/>
                <w:szCs w:val="20"/>
                <w:lang w:eastAsia="en-GB"/>
              </w:rPr>
              <w:t>Higher Risk Premises (</w:t>
            </w:r>
            <w:proofErr w:type="gramStart"/>
            <w:r w:rsidR="001E6DE2" w:rsidRPr="00A12168">
              <w:rPr>
                <w:rFonts w:eastAsia="Times New Roman" w:cs="Arial"/>
                <w:b/>
                <w:bCs/>
                <w:color w:val="000000"/>
                <w:sz w:val="20"/>
                <w:szCs w:val="20"/>
                <w:lang w:eastAsia="en-GB"/>
              </w:rPr>
              <w:t>e.g.</w:t>
            </w:r>
            <w:proofErr w:type="gramEnd"/>
            <w:r w:rsidR="001E6DE2" w:rsidRPr="00A12168">
              <w:rPr>
                <w:rFonts w:eastAsia="Times New Roman" w:cs="Arial"/>
                <w:b/>
                <w:bCs/>
                <w:color w:val="000000"/>
                <w:sz w:val="20"/>
                <w:szCs w:val="20"/>
                <w:lang w:eastAsia="en-GB"/>
              </w:rPr>
              <w:t xml:space="preserve"> Hospitals, Care Homes) that go</w:t>
            </w:r>
            <w:r w:rsidR="00A12168" w:rsidRPr="00A12168">
              <w:rPr>
                <w:rFonts w:eastAsia="Times New Roman" w:cs="Arial"/>
                <w:b/>
                <w:bCs/>
                <w:color w:val="000000"/>
                <w:sz w:val="20"/>
                <w:szCs w:val="20"/>
                <w:lang w:eastAsia="en-GB"/>
              </w:rPr>
              <w:t xml:space="preserve"> </w:t>
            </w:r>
            <w:r w:rsidR="001E6DE2" w:rsidRPr="00A12168">
              <w:rPr>
                <w:rFonts w:eastAsia="Times New Roman" w:cs="Arial"/>
                <w:b/>
                <w:bCs/>
                <w:color w:val="000000"/>
                <w:sz w:val="20"/>
                <w:szCs w:val="20"/>
                <w:lang w:eastAsia="en-GB"/>
              </w:rPr>
              <w:t>uninspected</w:t>
            </w:r>
            <w:r w:rsidR="00A12168" w:rsidRPr="00A12168">
              <w:rPr>
                <w:rFonts w:eastAsia="Times New Roman" w:cs="Arial"/>
                <w:b/>
                <w:bCs/>
                <w:color w:val="000000"/>
                <w:sz w:val="20"/>
                <w:szCs w:val="20"/>
                <w:lang w:eastAsia="en-GB"/>
              </w:rPr>
              <w:t xml:space="preserve"> if resources are diverted to meet the BSB</w:t>
            </w:r>
            <w:r w:rsidR="001E6DE2" w:rsidRPr="00A12168">
              <w:rPr>
                <w:rFonts w:eastAsia="Times New Roman" w:cs="Arial"/>
                <w:b/>
                <w:bCs/>
                <w:color w:val="000000"/>
                <w:sz w:val="20"/>
                <w:szCs w:val="20"/>
                <w:lang w:eastAsia="en-GB"/>
              </w:rPr>
              <w:t xml:space="preserve"> </w:t>
            </w:r>
            <w:r w:rsidR="00A12168" w:rsidRPr="00A12168">
              <w:rPr>
                <w:rFonts w:eastAsia="Times New Roman" w:cs="Arial"/>
                <w:b/>
                <w:bCs/>
                <w:color w:val="000000"/>
                <w:sz w:val="20"/>
                <w:szCs w:val="20"/>
                <w:lang w:eastAsia="en-GB"/>
              </w:rPr>
              <w:t xml:space="preserve">– England </w:t>
            </w:r>
          </w:p>
        </w:tc>
      </w:tr>
      <w:tr w:rsidR="001E6DE2" w:rsidRPr="002A2658" w14:paraId="30419028" w14:textId="77777777" w:rsidTr="00603FD8">
        <w:trPr>
          <w:trHeight w:val="285"/>
          <w:jc w:val="center"/>
        </w:trPr>
        <w:tc>
          <w:tcPr>
            <w:tcW w:w="2268" w:type="dxa"/>
            <w:tcBorders>
              <w:top w:val="nil"/>
              <w:left w:val="nil"/>
              <w:bottom w:val="nil"/>
              <w:right w:val="nil"/>
            </w:tcBorders>
            <w:shd w:val="clear" w:color="auto" w:fill="auto"/>
            <w:vAlign w:val="center"/>
            <w:hideMark/>
          </w:tcPr>
          <w:p w14:paraId="5625F4FB" w14:textId="77777777" w:rsidR="001E6DE2" w:rsidRPr="00A12168" w:rsidRDefault="001E6DE2" w:rsidP="00603FD8">
            <w:pPr>
              <w:spacing w:after="0" w:line="240" w:lineRule="auto"/>
              <w:rPr>
                <w:rFonts w:eastAsia="Times New Roman" w:cs="Arial"/>
                <w:b/>
                <w:bCs/>
                <w:color w:val="000000"/>
                <w:sz w:val="20"/>
                <w:szCs w:val="20"/>
                <w:lang w:eastAsia="en-GB"/>
              </w:rPr>
            </w:pPr>
            <w:r w:rsidRPr="00A12168">
              <w:rPr>
                <w:rFonts w:eastAsia="Times New Roman" w:cs="Arial"/>
                <w:b/>
                <w:bCs/>
                <w:color w:val="000000"/>
                <w:sz w:val="20"/>
                <w:szCs w:val="20"/>
                <w:lang w:eastAsia="en-GB"/>
              </w:rPr>
              <w:t>Year</w:t>
            </w:r>
          </w:p>
        </w:tc>
        <w:tc>
          <w:tcPr>
            <w:tcW w:w="993" w:type="dxa"/>
            <w:tcBorders>
              <w:top w:val="nil"/>
              <w:left w:val="nil"/>
              <w:bottom w:val="nil"/>
              <w:right w:val="nil"/>
            </w:tcBorders>
            <w:shd w:val="clear" w:color="000000" w:fill="F2F2F2"/>
            <w:noWrap/>
            <w:vAlign w:val="center"/>
            <w:hideMark/>
          </w:tcPr>
          <w:p w14:paraId="09341D20" w14:textId="77777777" w:rsidR="001E6DE2" w:rsidRPr="00A12168" w:rsidRDefault="001E6DE2" w:rsidP="00603FD8">
            <w:pPr>
              <w:spacing w:after="0" w:line="240" w:lineRule="auto"/>
              <w:jc w:val="right"/>
              <w:rPr>
                <w:rFonts w:eastAsia="Times New Roman" w:cs="Arial"/>
                <w:b/>
                <w:bCs/>
                <w:color w:val="000000"/>
                <w:sz w:val="20"/>
                <w:szCs w:val="20"/>
                <w:lang w:eastAsia="en-GB"/>
              </w:rPr>
            </w:pPr>
            <w:r w:rsidRPr="00A12168">
              <w:rPr>
                <w:rFonts w:eastAsia="Times New Roman" w:cs="Arial"/>
                <w:b/>
                <w:bCs/>
                <w:color w:val="000000"/>
                <w:sz w:val="20"/>
                <w:szCs w:val="20"/>
                <w:lang w:eastAsia="en-GB"/>
              </w:rPr>
              <w:t>2023/24</w:t>
            </w:r>
          </w:p>
        </w:tc>
        <w:tc>
          <w:tcPr>
            <w:tcW w:w="992" w:type="dxa"/>
            <w:tcBorders>
              <w:top w:val="nil"/>
              <w:left w:val="nil"/>
              <w:bottom w:val="nil"/>
              <w:right w:val="nil"/>
            </w:tcBorders>
            <w:shd w:val="clear" w:color="000000" w:fill="F2F2F2"/>
            <w:noWrap/>
            <w:vAlign w:val="center"/>
            <w:hideMark/>
          </w:tcPr>
          <w:p w14:paraId="2F4E033B" w14:textId="77777777" w:rsidR="001E6DE2" w:rsidRPr="00A12168" w:rsidRDefault="001E6DE2" w:rsidP="00603FD8">
            <w:pPr>
              <w:spacing w:after="0" w:line="240" w:lineRule="auto"/>
              <w:jc w:val="right"/>
              <w:rPr>
                <w:rFonts w:eastAsia="Times New Roman" w:cs="Arial"/>
                <w:b/>
                <w:bCs/>
                <w:color w:val="000000"/>
                <w:sz w:val="20"/>
                <w:szCs w:val="20"/>
                <w:lang w:eastAsia="en-GB"/>
              </w:rPr>
            </w:pPr>
            <w:r w:rsidRPr="00A12168">
              <w:rPr>
                <w:rFonts w:eastAsia="Times New Roman" w:cs="Arial"/>
                <w:b/>
                <w:bCs/>
                <w:color w:val="000000"/>
                <w:sz w:val="20"/>
                <w:szCs w:val="20"/>
                <w:lang w:eastAsia="en-GB"/>
              </w:rPr>
              <w:t>2024/25</w:t>
            </w:r>
          </w:p>
        </w:tc>
        <w:tc>
          <w:tcPr>
            <w:tcW w:w="992" w:type="dxa"/>
            <w:tcBorders>
              <w:top w:val="nil"/>
              <w:left w:val="nil"/>
              <w:bottom w:val="nil"/>
              <w:right w:val="nil"/>
            </w:tcBorders>
            <w:shd w:val="clear" w:color="000000" w:fill="F2F2F2"/>
            <w:noWrap/>
            <w:vAlign w:val="center"/>
            <w:hideMark/>
          </w:tcPr>
          <w:p w14:paraId="5EDEC786" w14:textId="77777777" w:rsidR="001E6DE2" w:rsidRPr="00A12168" w:rsidRDefault="001E6DE2" w:rsidP="00603FD8">
            <w:pPr>
              <w:spacing w:after="0" w:line="240" w:lineRule="auto"/>
              <w:jc w:val="right"/>
              <w:rPr>
                <w:rFonts w:eastAsia="Times New Roman" w:cs="Arial"/>
                <w:b/>
                <w:bCs/>
                <w:color w:val="000000"/>
                <w:sz w:val="20"/>
                <w:szCs w:val="20"/>
                <w:lang w:eastAsia="en-GB"/>
              </w:rPr>
            </w:pPr>
            <w:r w:rsidRPr="00A12168">
              <w:rPr>
                <w:rFonts w:eastAsia="Times New Roman" w:cs="Arial"/>
                <w:b/>
                <w:bCs/>
                <w:color w:val="000000"/>
                <w:sz w:val="20"/>
                <w:szCs w:val="20"/>
                <w:lang w:eastAsia="en-GB"/>
              </w:rPr>
              <w:t>2025/26</w:t>
            </w:r>
          </w:p>
        </w:tc>
        <w:tc>
          <w:tcPr>
            <w:tcW w:w="992" w:type="dxa"/>
            <w:tcBorders>
              <w:top w:val="nil"/>
              <w:left w:val="nil"/>
              <w:bottom w:val="nil"/>
              <w:right w:val="nil"/>
            </w:tcBorders>
            <w:shd w:val="clear" w:color="000000" w:fill="F2F2F2"/>
            <w:noWrap/>
            <w:vAlign w:val="center"/>
            <w:hideMark/>
          </w:tcPr>
          <w:p w14:paraId="23993866" w14:textId="77777777" w:rsidR="001E6DE2" w:rsidRPr="00A12168" w:rsidRDefault="001E6DE2" w:rsidP="00603FD8">
            <w:pPr>
              <w:spacing w:after="0" w:line="240" w:lineRule="auto"/>
              <w:jc w:val="right"/>
              <w:rPr>
                <w:rFonts w:eastAsia="Times New Roman" w:cs="Arial"/>
                <w:b/>
                <w:bCs/>
                <w:color w:val="000000"/>
                <w:sz w:val="20"/>
                <w:szCs w:val="20"/>
                <w:lang w:eastAsia="en-GB"/>
              </w:rPr>
            </w:pPr>
            <w:r w:rsidRPr="00A12168">
              <w:rPr>
                <w:rFonts w:eastAsia="Times New Roman" w:cs="Arial"/>
                <w:b/>
                <w:bCs/>
                <w:color w:val="000000"/>
                <w:sz w:val="20"/>
                <w:szCs w:val="20"/>
                <w:lang w:eastAsia="en-GB"/>
              </w:rPr>
              <w:t>2026/27</w:t>
            </w:r>
          </w:p>
        </w:tc>
        <w:tc>
          <w:tcPr>
            <w:tcW w:w="1134" w:type="dxa"/>
            <w:tcBorders>
              <w:top w:val="nil"/>
              <w:left w:val="nil"/>
              <w:bottom w:val="nil"/>
              <w:right w:val="nil"/>
            </w:tcBorders>
            <w:shd w:val="clear" w:color="000000" w:fill="F2F2F2"/>
            <w:noWrap/>
            <w:vAlign w:val="center"/>
            <w:hideMark/>
          </w:tcPr>
          <w:p w14:paraId="481556EE" w14:textId="77777777" w:rsidR="001E6DE2" w:rsidRPr="00A12168" w:rsidRDefault="001E6DE2" w:rsidP="00603FD8">
            <w:pPr>
              <w:spacing w:after="0" w:line="240" w:lineRule="auto"/>
              <w:jc w:val="right"/>
              <w:rPr>
                <w:rFonts w:eastAsia="Times New Roman" w:cs="Arial"/>
                <w:b/>
                <w:bCs/>
                <w:color w:val="000000"/>
                <w:sz w:val="20"/>
                <w:szCs w:val="20"/>
                <w:lang w:eastAsia="en-GB"/>
              </w:rPr>
            </w:pPr>
            <w:r w:rsidRPr="00A12168">
              <w:rPr>
                <w:rFonts w:eastAsia="Times New Roman" w:cs="Arial"/>
                <w:b/>
                <w:bCs/>
                <w:color w:val="000000"/>
                <w:sz w:val="20"/>
                <w:szCs w:val="20"/>
                <w:lang w:eastAsia="en-GB"/>
              </w:rPr>
              <w:t>2027/28</w:t>
            </w:r>
          </w:p>
        </w:tc>
        <w:tc>
          <w:tcPr>
            <w:tcW w:w="1276" w:type="dxa"/>
            <w:tcBorders>
              <w:top w:val="nil"/>
              <w:left w:val="nil"/>
              <w:bottom w:val="nil"/>
              <w:right w:val="nil"/>
            </w:tcBorders>
            <w:shd w:val="clear" w:color="000000" w:fill="F2F2F2"/>
            <w:noWrap/>
            <w:vAlign w:val="center"/>
            <w:hideMark/>
          </w:tcPr>
          <w:p w14:paraId="75B4B2F0" w14:textId="77777777" w:rsidR="001E6DE2" w:rsidRPr="00A12168" w:rsidRDefault="001E6DE2" w:rsidP="00603FD8">
            <w:pPr>
              <w:spacing w:after="0" w:line="240" w:lineRule="auto"/>
              <w:jc w:val="right"/>
              <w:rPr>
                <w:rFonts w:eastAsia="Times New Roman" w:cs="Arial"/>
                <w:b/>
                <w:bCs/>
                <w:color w:val="000000"/>
                <w:sz w:val="20"/>
                <w:szCs w:val="20"/>
                <w:lang w:eastAsia="en-GB"/>
              </w:rPr>
            </w:pPr>
            <w:r w:rsidRPr="00A12168">
              <w:rPr>
                <w:rFonts w:eastAsia="Times New Roman" w:cs="Arial"/>
                <w:b/>
                <w:bCs/>
                <w:color w:val="000000"/>
                <w:sz w:val="20"/>
                <w:szCs w:val="20"/>
                <w:lang w:eastAsia="en-GB"/>
              </w:rPr>
              <w:t>2028/29</w:t>
            </w:r>
          </w:p>
        </w:tc>
      </w:tr>
      <w:tr w:rsidR="001E6DE2" w:rsidRPr="002A2658" w14:paraId="4D7BB31B" w14:textId="77777777" w:rsidTr="00603FD8">
        <w:trPr>
          <w:trHeight w:val="431"/>
          <w:jc w:val="center"/>
        </w:trPr>
        <w:tc>
          <w:tcPr>
            <w:tcW w:w="2268" w:type="dxa"/>
            <w:tcBorders>
              <w:top w:val="nil"/>
              <w:left w:val="nil"/>
              <w:bottom w:val="nil"/>
              <w:right w:val="nil"/>
            </w:tcBorders>
            <w:shd w:val="clear" w:color="auto" w:fill="auto"/>
            <w:vAlign w:val="center"/>
            <w:hideMark/>
          </w:tcPr>
          <w:p w14:paraId="5E4428D1" w14:textId="77777777" w:rsidR="001E6DE2" w:rsidRPr="00A12168" w:rsidRDefault="001E6DE2" w:rsidP="001E6DE2">
            <w:pPr>
              <w:spacing w:after="0" w:line="240" w:lineRule="auto"/>
              <w:rPr>
                <w:rFonts w:eastAsia="Times New Roman" w:cs="Arial"/>
                <w:b/>
                <w:bCs/>
                <w:color w:val="000000"/>
                <w:sz w:val="20"/>
                <w:szCs w:val="20"/>
                <w:lang w:eastAsia="en-GB"/>
              </w:rPr>
            </w:pPr>
            <w:r w:rsidRPr="00A12168">
              <w:rPr>
                <w:rFonts w:eastAsia="Times New Roman" w:cs="Arial"/>
                <w:b/>
                <w:bCs/>
                <w:color w:val="000000"/>
                <w:sz w:val="20"/>
                <w:szCs w:val="20"/>
                <w:lang w:eastAsia="en-GB"/>
              </w:rPr>
              <w:t>Safety Case impact</w:t>
            </w:r>
          </w:p>
        </w:tc>
        <w:tc>
          <w:tcPr>
            <w:tcW w:w="993" w:type="dxa"/>
            <w:tcBorders>
              <w:top w:val="nil"/>
              <w:left w:val="nil"/>
              <w:bottom w:val="nil"/>
              <w:right w:val="nil"/>
            </w:tcBorders>
            <w:shd w:val="clear" w:color="auto" w:fill="auto"/>
            <w:noWrap/>
            <w:vAlign w:val="center"/>
            <w:hideMark/>
          </w:tcPr>
          <w:p w14:paraId="77DED568" w14:textId="77777777" w:rsidR="001E6DE2" w:rsidRPr="00A12168" w:rsidRDefault="001E6DE2" w:rsidP="00603FD8">
            <w:pPr>
              <w:spacing w:after="0" w:line="240" w:lineRule="auto"/>
              <w:jc w:val="right"/>
              <w:rPr>
                <w:rFonts w:eastAsia="Times New Roman" w:cs="Arial"/>
                <w:color w:val="000000"/>
                <w:sz w:val="20"/>
                <w:szCs w:val="20"/>
                <w:lang w:eastAsia="en-GB"/>
              </w:rPr>
            </w:pPr>
            <w:r w:rsidRPr="00A12168">
              <w:rPr>
                <w:rFonts w:eastAsia="Times New Roman" w:cs="Arial"/>
                <w:color w:val="000000"/>
                <w:sz w:val="20"/>
                <w:szCs w:val="20"/>
                <w:lang w:eastAsia="en-GB"/>
              </w:rPr>
              <w:t>3,150</w:t>
            </w:r>
          </w:p>
        </w:tc>
        <w:tc>
          <w:tcPr>
            <w:tcW w:w="992" w:type="dxa"/>
            <w:tcBorders>
              <w:top w:val="nil"/>
              <w:left w:val="nil"/>
              <w:bottom w:val="nil"/>
              <w:right w:val="nil"/>
            </w:tcBorders>
            <w:shd w:val="clear" w:color="auto" w:fill="auto"/>
            <w:noWrap/>
            <w:vAlign w:val="center"/>
            <w:hideMark/>
          </w:tcPr>
          <w:p w14:paraId="3AADDDCF" w14:textId="77777777" w:rsidR="001E6DE2" w:rsidRPr="00A12168" w:rsidRDefault="001E6DE2" w:rsidP="00603FD8">
            <w:pPr>
              <w:spacing w:after="0" w:line="240" w:lineRule="auto"/>
              <w:jc w:val="right"/>
              <w:rPr>
                <w:rFonts w:eastAsia="Times New Roman" w:cs="Arial"/>
                <w:color w:val="000000"/>
                <w:sz w:val="20"/>
                <w:szCs w:val="20"/>
                <w:lang w:eastAsia="en-GB"/>
              </w:rPr>
            </w:pPr>
            <w:r w:rsidRPr="00A12168">
              <w:rPr>
                <w:rFonts w:eastAsia="Times New Roman" w:cs="Arial"/>
                <w:color w:val="000000"/>
                <w:sz w:val="20"/>
                <w:szCs w:val="20"/>
                <w:lang w:eastAsia="en-GB"/>
              </w:rPr>
              <w:t>3,150</w:t>
            </w:r>
          </w:p>
        </w:tc>
        <w:tc>
          <w:tcPr>
            <w:tcW w:w="992" w:type="dxa"/>
            <w:tcBorders>
              <w:top w:val="nil"/>
              <w:left w:val="nil"/>
              <w:bottom w:val="nil"/>
              <w:right w:val="nil"/>
            </w:tcBorders>
            <w:shd w:val="clear" w:color="auto" w:fill="auto"/>
            <w:noWrap/>
            <w:vAlign w:val="center"/>
            <w:hideMark/>
          </w:tcPr>
          <w:p w14:paraId="3B231EBF" w14:textId="77777777" w:rsidR="001E6DE2" w:rsidRPr="00A12168" w:rsidRDefault="001E6DE2" w:rsidP="00603FD8">
            <w:pPr>
              <w:spacing w:after="0" w:line="240" w:lineRule="auto"/>
              <w:jc w:val="right"/>
              <w:rPr>
                <w:rFonts w:eastAsia="Times New Roman" w:cs="Arial"/>
                <w:color w:val="000000"/>
                <w:sz w:val="20"/>
                <w:szCs w:val="20"/>
                <w:lang w:eastAsia="en-GB"/>
              </w:rPr>
            </w:pPr>
            <w:r w:rsidRPr="00A12168">
              <w:rPr>
                <w:rFonts w:eastAsia="Times New Roman" w:cs="Arial"/>
                <w:color w:val="000000"/>
                <w:sz w:val="20"/>
                <w:szCs w:val="20"/>
                <w:lang w:eastAsia="en-GB"/>
              </w:rPr>
              <w:t>3,150</w:t>
            </w:r>
          </w:p>
        </w:tc>
        <w:tc>
          <w:tcPr>
            <w:tcW w:w="992" w:type="dxa"/>
            <w:tcBorders>
              <w:top w:val="nil"/>
              <w:left w:val="nil"/>
              <w:bottom w:val="nil"/>
              <w:right w:val="nil"/>
            </w:tcBorders>
            <w:shd w:val="clear" w:color="auto" w:fill="auto"/>
            <w:noWrap/>
            <w:vAlign w:val="center"/>
            <w:hideMark/>
          </w:tcPr>
          <w:p w14:paraId="4D5F6957" w14:textId="77777777" w:rsidR="001E6DE2" w:rsidRPr="00A12168" w:rsidRDefault="001E6DE2" w:rsidP="00603FD8">
            <w:pPr>
              <w:spacing w:after="0" w:line="240" w:lineRule="auto"/>
              <w:jc w:val="right"/>
              <w:rPr>
                <w:rFonts w:eastAsia="Times New Roman" w:cs="Arial"/>
                <w:color w:val="000000"/>
                <w:sz w:val="20"/>
                <w:szCs w:val="20"/>
                <w:lang w:eastAsia="en-GB"/>
              </w:rPr>
            </w:pPr>
            <w:r w:rsidRPr="00A12168">
              <w:rPr>
                <w:rFonts w:eastAsia="Times New Roman" w:cs="Arial"/>
                <w:color w:val="000000"/>
                <w:sz w:val="20"/>
                <w:szCs w:val="20"/>
                <w:lang w:eastAsia="en-GB"/>
              </w:rPr>
              <w:t>3,150</w:t>
            </w:r>
          </w:p>
        </w:tc>
        <w:tc>
          <w:tcPr>
            <w:tcW w:w="1134" w:type="dxa"/>
            <w:tcBorders>
              <w:top w:val="nil"/>
              <w:left w:val="nil"/>
              <w:bottom w:val="nil"/>
              <w:right w:val="nil"/>
            </w:tcBorders>
            <w:shd w:val="clear" w:color="auto" w:fill="auto"/>
            <w:noWrap/>
            <w:vAlign w:val="center"/>
            <w:hideMark/>
          </w:tcPr>
          <w:p w14:paraId="60591448" w14:textId="77777777" w:rsidR="001E6DE2" w:rsidRPr="00A12168" w:rsidRDefault="001E6DE2" w:rsidP="00603FD8">
            <w:pPr>
              <w:spacing w:after="0" w:line="240" w:lineRule="auto"/>
              <w:jc w:val="right"/>
              <w:rPr>
                <w:rFonts w:eastAsia="Times New Roman" w:cs="Arial"/>
                <w:color w:val="000000"/>
                <w:sz w:val="20"/>
                <w:szCs w:val="20"/>
                <w:lang w:eastAsia="en-GB"/>
              </w:rPr>
            </w:pPr>
            <w:r w:rsidRPr="00A12168">
              <w:rPr>
                <w:rFonts w:eastAsia="Times New Roman" w:cs="Arial"/>
                <w:color w:val="000000"/>
                <w:sz w:val="20"/>
                <w:szCs w:val="20"/>
                <w:lang w:eastAsia="en-GB"/>
              </w:rPr>
              <w:t>3,150</w:t>
            </w:r>
          </w:p>
        </w:tc>
        <w:tc>
          <w:tcPr>
            <w:tcW w:w="1276" w:type="dxa"/>
            <w:tcBorders>
              <w:top w:val="nil"/>
              <w:left w:val="nil"/>
              <w:bottom w:val="nil"/>
              <w:right w:val="nil"/>
            </w:tcBorders>
            <w:shd w:val="clear" w:color="auto" w:fill="auto"/>
            <w:noWrap/>
            <w:vAlign w:val="center"/>
            <w:hideMark/>
          </w:tcPr>
          <w:p w14:paraId="546BFAA7" w14:textId="77777777" w:rsidR="001E6DE2" w:rsidRPr="00A12168" w:rsidRDefault="001E6DE2" w:rsidP="00603FD8">
            <w:pPr>
              <w:spacing w:after="0" w:line="240" w:lineRule="auto"/>
              <w:jc w:val="right"/>
              <w:rPr>
                <w:rFonts w:eastAsia="Times New Roman" w:cs="Arial"/>
                <w:color w:val="000000"/>
                <w:sz w:val="20"/>
                <w:szCs w:val="20"/>
                <w:lang w:eastAsia="en-GB"/>
              </w:rPr>
            </w:pPr>
            <w:r w:rsidRPr="00A12168">
              <w:rPr>
                <w:rFonts w:eastAsia="Times New Roman" w:cs="Arial"/>
                <w:color w:val="000000"/>
                <w:sz w:val="20"/>
                <w:szCs w:val="20"/>
                <w:lang w:eastAsia="en-GB"/>
              </w:rPr>
              <w:t>3,150</w:t>
            </w:r>
          </w:p>
        </w:tc>
      </w:tr>
      <w:tr w:rsidR="001E6DE2" w:rsidRPr="002A2658" w14:paraId="178CE691" w14:textId="77777777" w:rsidTr="00603FD8">
        <w:trPr>
          <w:trHeight w:val="360"/>
          <w:jc w:val="center"/>
        </w:trPr>
        <w:tc>
          <w:tcPr>
            <w:tcW w:w="2268" w:type="dxa"/>
            <w:tcBorders>
              <w:top w:val="nil"/>
              <w:left w:val="nil"/>
              <w:bottom w:val="nil"/>
              <w:right w:val="nil"/>
            </w:tcBorders>
            <w:shd w:val="clear" w:color="auto" w:fill="auto"/>
            <w:vAlign w:val="center"/>
            <w:hideMark/>
          </w:tcPr>
          <w:p w14:paraId="1D92F5DE" w14:textId="0BED86D2" w:rsidR="001E6DE2" w:rsidRPr="00A12168" w:rsidRDefault="001E6DE2" w:rsidP="00603FD8">
            <w:pPr>
              <w:spacing w:after="0" w:line="240" w:lineRule="auto"/>
              <w:rPr>
                <w:rFonts w:eastAsia="Times New Roman" w:cs="Arial"/>
                <w:b/>
                <w:bCs/>
                <w:color w:val="000000"/>
                <w:sz w:val="20"/>
                <w:szCs w:val="20"/>
                <w:lang w:eastAsia="en-GB"/>
              </w:rPr>
            </w:pPr>
            <w:r w:rsidRPr="00A12168">
              <w:rPr>
                <w:rFonts w:eastAsia="Times New Roman" w:cs="Arial"/>
                <w:b/>
                <w:bCs/>
                <w:color w:val="000000"/>
                <w:sz w:val="20"/>
                <w:szCs w:val="20"/>
                <w:lang w:eastAsia="en-GB"/>
              </w:rPr>
              <w:t>G</w:t>
            </w:r>
            <w:r w:rsidR="00C31789">
              <w:rPr>
                <w:rFonts w:eastAsia="Times New Roman" w:cs="Arial"/>
                <w:b/>
                <w:bCs/>
                <w:color w:val="000000"/>
                <w:sz w:val="20"/>
                <w:szCs w:val="20"/>
                <w:lang w:eastAsia="en-GB"/>
              </w:rPr>
              <w:t xml:space="preserve">ateway </w:t>
            </w:r>
            <w:r w:rsidRPr="00A12168">
              <w:rPr>
                <w:rFonts w:eastAsia="Times New Roman" w:cs="Arial"/>
                <w:b/>
                <w:bCs/>
                <w:color w:val="000000"/>
                <w:sz w:val="20"/>
                <w:szCs w:val="20"/>
                <w:lang w:eastAsia="en-GB"/>
              </w:rPr>
              <w:t>2 Impact</w:t>
            </w:r>
          </w:p>
        </w:tc>
        <w:tc>
          <w:tcPr>
            <w:tcW w:w="993" w:type="dxa"/>
            <w:tcBorders>
              <w:top w:val="nil"/>
              <w:left w:val="nil"/>
              <w:bottom w:val="nil"/>
              <w:right w:val="nil"/>
            </w:tcBorders>
            <w:shd w:val="clear" w:color="auto" w:fill="auto"/>
            <w:noWrap/>
            <w:vAlign w:val="bottom"/>
            <w:hideMark/>
          </w:tcPr>
          <w:p w14:paraId="29EEFE12" w14:textId="77777777" w:rsidR="001E6DE2" w:rsidRPr="00A12168" w:rsidRDefault="001E6DE2" w:rsidP="00603FD8">
            <w:pPr>
              <w:spacing w:after="0" w:line="240" w:lineRule="auto"/>
              <w:jc w:val="right"/>
              <w:rPr>
                <w:rFonts w:eastAsia="Times New Roman" w:cs="Arial"/>
                <w:color w:val="000000"/>
                <w:sz w:val="20"/>
                <w:szCs w:val="20"/>
                <w:lang w:eastAsia="en-GB"/>
              </w:rPr>
            </w:pPr>
            <w:r w:rsidRPr="00A12168">
              <w:rPr>
                <w:rFonts w:cs="Arial"/>
                <w:color w:val="000000"/>
                <w:sz w:val="20"/>
                <w:szCs w:val="20"/>
              </w:rPr>
              <w:t>948</w:t>
            </w:r>
          </w:p>
        </w:tc>
        <w:tc>
          <w:tcPr>
            <w:tcW w:w="992" w:type="dxa"/>
            <w:tcBorders>
              <w:top w:val="nil"/>
              <w:left w:val="nil"/>
              <w:bottom w:val="nil"/>
              <w:right w:val="nil"/>
            </w:tcBorders>
            <w:shd w:val="clear" w:color="auto" w:fill="auto"/>
            <w:noWrap/>
            <w:vAlign w:val="bottom"/>
            <w:hideMark/>
          </w:tcPr>
          <w:p w14:paraId="5095C9C3" w14:textId="77777777" w:rsidR="001E6DE2" w:rsidRPr="00A12168" w:rsidRDefault="001E6DE2" w:rsidP="00603FD8">
            <w:pPr>
              <w:spacing w:after="0" w:line="240" w:lineRule="auto"/>
              <w:jc w:val="right"/>
              <w:rPr>
                <w:rFonts w:eastAsia="Times New Roman" w:cs="Arial"/>
                <w:color w:val="000000"/>
                <w:sz w:val="20"/>
                <w:szCs w:val="20"/>
                <w:lang w:eastAsia="en-GB"/>
              </w:rPr>
            </w:pPr>
            <w:r w:rsidRPr="00A12168">
              <w:rPr>
                <w:rFonts w:cs="Arial"/>
                <w:color w:val="000000"/>
                <w:sz w:val="20"/>
                <w:szCs w:val="20"/>
              </w:rPr>
              <w:t>980</w:t>
            </w:r>
          </w:p>
        </w:tc>
        <w:tc>
          <w:tcPr>
            <w:tcW w:w="992" w:type="dxa"/>
            <w:tcBorders>
              <w:top w:val="nil"/>
              <w:left w:val="nil"/>
              <w:bottom w:val="nil"/>
              <w:right w:val="nil"/>
            </w:tcBorders>
            <w:shd w:val="clear" w:color="auto" w:fill="auto"/>
            <w:noWrap/>
            <w:vAlign w:val="bottom"/>
            <w:hideMark/>
          </w:tcPr>
          <w:p w14:paraId="1D6A13C9" w14:textId="77777777" w:rsidR="001E6DE2" w:rsidRPr="00A12168" w:rsidRDefault="001E6DE2" w:rsidP="00603FD8">
            <w:pPr>
              <w:spacing w:after="0" w:line="240" w:lineRule="auto"/>
              <w:jc w:val="right"/>
              <w:rPr>
                <w:rFonts w:eastAsia="Times New Roman" w:cs="Arial"/>
                <w:color w:val="000000"/>
                <w:sz w:val="20"/>
                <w:szCs w:val="20"/>
                <w:lang w:eastAsia="en-GB"/>
              </w:rPr>
            </w:pPr>
            <w:r w:rsidRPr="00A12168">
              <w:rPr>
                <w:rFonts w:cs="Arial"/>
                <w:color w:val="000000"/>
                <w:sz w:val="20"/>
                <w:szCs w:val="20"/>
              </w:rPr>
              <w:t>1013</w:t>
            </w:r>
          </w:p>
        </w:tc>
        <w:tc>
          <w:tcPr>
            <w:tcW w:w="992" w:type="dxa"/>
            <w:tcBorders>
              <w:top w:val="nil"/>
              <w:left w:val="nil"/>
              <w:bottom w:val="nil"/>
              <w:right w:val="nil"/>
            </w:tcBorders>
            <w:shd w:val="clear" w:color="auto" w:fill="auto"/>
            <w:noWrap/>
            <w:vAlign w:val="bottom"/>
            <w:hideMark/>
          </w:tcPr>
          <w:p w14:paraId="0985C69D" w14:textId="77777777" w:rsidR="001E6DE2" w:rsidRPr="00A12168" w:rsidRDefault="001E6DE2" w:rsidP="00603FD8">
            <w:pPr>
              <w:spacing w:after="0" w:line="240" w:lineRule="auto"/>
              <w:jc w:val="right"/>
              <w:rPr>
                <w:rFonts w:eastAsia="Times New Roman" w:cs="Arial"/>
                <w:color w:val="000000"/>
                <w:sz w:val="20"/>
                <w:szCs w:val="20"/>
                <w:lang w:eastAsia="en-GB"/>
              </w:rPr>
            </w:pPr>
            <w:r w:rsidRPr="00A12168">
              <w:rPr>
                <w:rFonts w:cs="Arial"/>
                <w:color w:val="000000"/>
                <w:sz w:val="20"/>
                <w:szCs w:val="20"/>
              </w:rPr>
              <w:t>1046</w:t>
            </w:r>
          </w:p>
        </w:tc>
        <w:tc>
          <w:tcPr>
            <w:tcW w:w="1134" w:type="dxa"/>
            <w:tcBorders>
              <w:top w:val="nil"/>
              <w:left w:val="nil"/>
              <w:bottom w:val="nil"/>
              <w:right w:val="nil"/>
            </w:tcBorders>
            <w:shd w:val="clear" w:color="auto" w:fill="auto"/>
            <w:noWrap/>
            <w:vAlign w:val="bottom"/>
            <w:hideMark/>
          </w:tcPr>
          <w:p w14:paraId="6C21182D" w14:textId="77777777" w:rsidR="001E6DE2" w:rsidRPr="00A12168" w:rsidRDefault="001E6DE2" w:rsidP="00603FD8">
            <w:pPr>
              <w:spacing w:after="0" w:line="240" w:lineRule="auto"/>
              <w:jc w:val="right"/>
              <w:rPr>
                <w:rFonts w:eastAsia="Times New Roman" w:cs="Arial"/>
                <w:color w:val="000000"/>
                <w:sz w:val="20"/>
                <w:szCs w:val="20"/>
                <w:lang w:eastAsia="en-GB"/>
              </w:rPr>
            </w:pPr>
            <w:r w:rsidRPr="00A12168">
              <w:rPr>
                <w:rFonts w:cs="Arial"/>
                <w:color w:val="000000"/>
                <w:sz w:val="20"/>
                <w:szCs w:val="20"/>
              </w:rPr>
              <w:t>1069</w:t>
            </w:r>
          </w:p>
        </w:tc>
        <w:tc>
          <w:tcPr>
            <w:tcW w:w="1276" w:type="dxa"/>
            <w:tcBorders>
              <w:top w:val="nil"/>
              <w:left w:val="nil"/>
              <w:bottom w:val="nil"/>
              <w:right w:val="nil"/>
            </w:tcBorders>
            <w:shd w:val="clear" w:color="auto" w:fill="auto"/>
            <w:noWrap/>
            <w:vAlign w:val="bottom"/>
            <w:hideMark/>
          </w:tcPr>
          <w:p w14:paraId="4CA95774" w14:textId="77777777" w:rsidR="001E6DE2" w:rsidRPr="00A12168" w:rsidRDefault="001E6DE2" w:rsidP="00603FD8">
            <w:pPr>
              <w:spacing w:after="0" w:line="240" w:lineRule="auto"/>
              <w:jc w:val="right"/>
              <w:rPr>
                <w:rFonts w:eastAsia="Times New Roman" w:cs="Arial"/>
                <w:color w:val="000000"/>
                <w:sz w:val="20"/>
                <w:szCs w:val="20"/>
                <w:lang w:eastAsia="en-GB"/>
              </w:rPr>
            </w:pPr>
            <w:r w:rsidRPr="00A12168">
              <w:rPr>
                <w:rFonts w:cs="Arial"/>
                <w:color w:val="000000"/>
                <w:sz w:val="20"/>
                <w:szCs w:val="20"/>
              </w:rPr>
              <w:t>1103</w:t>
            </w:r>
          </w:p>
        </w:tc>
      </w:tr>
      <w:tr w:rsidR="001E6DE2" w:rsidRPr="002A2658" w14:paraId="040BC66F" w14:textId="77777777" w:rsidTr="00603FD8">
        <w:trPr>
          <w:trHeight w:val="375"/>
          <w:jc w:val="center"/>
        </w:trPr>
        <w:tc>
          <w:tcPr>
            <w:tcW w:w="2268" w:type="dxa"/>
            <w:tcBorders>
              <w:top w:val="nil"/>
              <w:left w:val="nil"/>
              <w:bottom w:val="nil"/>
              <w:right w:val="nil"/>
            </w:tcBorders>
            <w:shd w:val="clear" w:color="auto" w:fill="auto"/>
            <w:vAlign w:val="center"/>
            <w:hideMark/>
          </w:tcPr>
          <w:p w14:paraId="137611F5" w14:textId="77777777" w:rsidR="001E6DE2" w:rsidRPr="00A12168" w:rsidRDefault="001E6DE2" w:rsidP="00603FD8">
            <w:pPr>
              <w:spacing w:after="0" w:line="240" w:lineRule="auto"/>
              <w:rPr>
                <w:rFonts w:eastAsia="Times New Roman" w:cs="Arial"/>
                <w:b/>
                <w:bCs/>
                <w:color w:val="000000"/>
                <w:sz w:val="20"/>
                <w:szCs w:val="20"/>
                <w:lang w:eastAsia="en-GB"/>
              </w:rPr>
            </w:pPr>
            <w:r w:rsidRPr="00A12168">
              <w:rPr>
                <w:rFonts w:eastAsia="Times New Roman" w:cs="Arial"/>
                <w:b/>
                <w:bCs/>
                <w:color w:val="000000"/>
                <w:sz w:val="20"/>
                <w:szCs w:val="20"/>
                <w:lang w:eastAsia="en-GB"/>
              </w:rPr>
              <w:t>Total</w:t>
            </w:r>
          </w:p>
        </w:tc>
        <w:tc>
          <w:tcPr>
            <w:tcW w:w="993" w:type="dxa"/>
            <w:tcBorders>
              <w:top w:val="nil"/>
              <w:left w:val="nil"/>
              <w:bottom w:val="nil"/>
              <w:right w:val="nil"/>
            </w:tcBorders>
            <w:shd w:val="clear" w:color="auto" w:fill="F2F2F2" w:themeFill="background1" w:themeFillShade="F2"/>
            <w:noWrap/>
            <w:vAlign w:val="center"/>
            <w:hideMark/>
          </w:tcPr>
          <w:p w14:paraId="339BB035" w14:textId="77777777" w:rsidR="001E6DE2" w:rsidRPr="00A12168" w:rsidRDefault="001E6DE2" w:rsidP="00603FD8">
            <w:pPr>
              <w:spacing w:after="0" w:line="240" w:lineRule="auto"/>
              <w:jc w:val="right"/>
              <w:rPr>
                <w:rFonts w:eastAsia="Times New Roman" w:cs="Arial"/>
                <w:b/>
                <w:bCs/>
                <w:color w:val="000000"/>
                <w:sz w:val="20"/>
                <w:szCs w:val="20"/>
                <w:lang w:eastAsia="en-GB"/>
              </w:rPr>
            </w:pPr>
            <w:r w:rsidRPr="00A12168">
              <w:rPr>
                <w:rFonts w:cs="Arial"/>
                <w:b/>
                <w:bCs/>
                <w:color w:val="000000"/>
                <w:sz w:val="20"/>
                <w:szCs w:val="20"/>
              </w:rPr>
              <w:t>4,098</w:t>
            </w:r>
          </w:p>
        </w:tc>
        <w:tc>
          <w:tcPr>
            <w:tcW w:w="992" w:type="dxa"/>
            <w:tcBorders>
              <w:top w:val="nil"/>
              <w:left w:val="nil"/>
              <w:bottom w:val="nil"/>
              <w:right w:val="nil"/>
            </w:tcBorders>
            <w:shd w:val="clear" w:color="auto" w:fill="F2F2F2" w:themeFill="background1" w:themeFillShade="F2"/>
            <w:noWrap/>
            <w:vAlign w:val="center"/>
            <w:hideMark/>
          </w:tcPr>
          <w:p w14:paraId="76C3B0AD" w14:textId="77777777" w:rsidR="001E6DE2" w:rsidRPr="00A12168" w:rsidRDefault="001E6DE2" w:rsidP="00603FD8">
            <w:pPr>
              <w:spacing w:after="0" w:line="240" w:lineRule="auto"/>
              <w:jc w:val="right"/>
              <w:rPr>
                <w:rFonts w:eastAsia="Times New Roman" w:cs="Arial"/>
                <w:b/>
                <w:bCs/>
                <w:color w:val="000000"/>
                <w:sz w:val="20"/>
                <w:szCs w:val="20"/>
                <w:lang w:eastAsia="en-GB"/>
              </w:rPr>
            </w:pPr>
            <w:r w:rsidRPr="00A12168">
              <w:rPr>
                <w:rFonts w:cs="Arial"/>
                <w:b/>
                <w:bCs/>
                <w:color w:val="000000"/>
                <w:sz w:val="20"/>
                <w:szCs w:val="20"/>
              </w:rPr>
              <w:t>4,130</w:t>
            </w:r>
          </w:p>
        </w:tc>
        <w:tc>
          <w:tcPr>
            <w:tcW w:w="992" w:type="dxa"/>
            <w:tcBorders>
              <w:top w:val="nil"/>
              <w:left w:val="nil"/>
              <w:bottom w:val="nil"/>
              <w:right w:val="nil"/>
            </w:tcBorders>
            <w:shd w:val="clear" w:color="auto" w:fill="F2F2F2" w:themeFill="background1" w:themeFillShade="F2"/>
            <w:noWrap/>
            <w:vAlign w:val="center"/>
            <w:hideMark/>
          </w:tcPr>
          <w:p w14:paraId="4C5DCB5E" w14:textId="77777777" w:rsidR="001E6DE2" w:rsidRPr="00A12168" w:rsidRDefault="001E6DE2" w:rsidP="00603FD8">
            <w:pPr>
              <w:spacing w:after="0" w:line="240" w:lineRule="auto"/>
              <w:jc w:val="right"/>
              <w:rPr>
                <w:rFonts w:eastAsia="Times New Roman" w:cs="Arial"/>
                <w:b/>
                <w:bCs/>
                <w:color w:val="000000"/>
                <w:sz w:val="20"/>
                <w:szCs w:val="20"/>
                <w:lang w:eastAsia="en-GB"/>
              </w:rPr>
            </w:pPr>
            <w:r w:rsidRPr="00A12168">
              <w:rPr>
                <w:rFonts w:cs="Arial"/>
                <w:b/>
                <w:bCs/>
                <w:color w:val="000000"/>
                <w:sz w:val="20"/>
                <w:szCs w:val="20"/>
              </w:rPr>
              <w:t>4,163</w:t>
            </w:r>
          </w:p>
        </w:tc>
        <w:tc>
          <w:tcPr>
            <w:tcW w:w="992" w:type="dxa"/>
            <w:tcBorders>
              <w:top w:val="nil"/>
              <w:left w:val="nil"/>
              <w:bottom w:val="nil"/>
              <w:right w:val="nil"/>
            </w:tcBorders>
            <w:shd w:val="clear" w:color="auto" w:fill="F2F2F2" w:themeFill="background1" w:themeFillShade="F2"/>
            <w:noWrap/>
            <w:vAlign w:val="center"/>
            <w:hideMark/>
          </w:tcPr>
          <w:p w14:paraId="454FABFE" w14:textId="77777777" w:rsidR="001E6DE2" w:rsidRPr="00A12168" w:rsidRDefault="001E6DE2" w:rsidP="00603FD8">
            <w:pPr>
              <w:spacing w:after="0" w:line="240" w:lineRule="auto"/>
              <w:jc w:val="right"/>
              <w:rPr>
                <w:rFonts w:eastAsia="Times New Roman" w:cs="Arial"/>
                <w:b/>
                <w:bCs/>
                <w:color w:val="000000"/>
                <w:sz w:val="20"/>
                <w:szCs w:val="20"/>
                <w:lang w:eastAsia="en-GB"/>
              </w:rPr>
            </w:pPr>
            <w:r w:rsidRPr="00A12168">
              <w:rPr>
                <w:rFonts w:cs="Arial"/>
                <w:b/>
                <w:bCs/>
                <w:color w:val="000000"/>
                <w:sz w:val="20"/>
                <w:szCs w:val="20"/>
              </w:rPr>
              <w:t>4,196</w:t>
            </w:r>
          </w:p>
        </w:tc>
        <w:tc>
          <w:tcPr>
            <w:tcW w:w="1134" w:type="dxa"/>
            <w:tcBorders>
              <w:top w:val="nil"/>
              <w:left w:val="nil"/>
              <w:bottom w:val="nil"/>
              <w:right w:val="nil"/>
            </w:tcBorders>
            <w:shd w:val="clear" w:color="auto" w:fill="F2F2F2" w:themeFill="background1" w:themeFillShade="F2"/>
            <w:noWrap/>
            <w:vAlign w:val="center"/>
            <w:hideMark/>
          </w:tcPr>
          <w:p w14:paraId="1C85F6C2" w14:textId="77777777" w:rsidR="001E6DE2" w:rsidRPr="00A12168" w:rsidRDefault="001E6DE2" w:rsidP="00603FD8">
            <w:pPr>
              <w:spacing w:after="0" w:line="240" w:lineRule="auto"/>
              <w:jc w:val="right"/>
              <w:rPr>
                <w:rFonts w:eastAsia="Times New Roman" w:cs="Arial"/>
                <w:b/>
                <w:bCs/>
                <w:color w:val="000000"/>
                <w:sz w:val="20"/>
                <w:szCs w:val="20"/>
                <w:lang w:eastAsia="en-GB"/>
              </w:rPr>
            </w:pPr>
            <w:r w:rsidRPr="00A12168">
              <w:rPr>
                <w:rFonts w:cs="Arial"/>
                <w:b/>
                <w:bCs/>
                <w:color w:val="000000"/>
                <w:sz w:val="20"/>
                <w:szCs w:val="20"/>
              </w:rPr>
              <w:t>4,219</w:t>
            </w:r>
          </w:p>
        </w:tc>
        <w:tc>
          <w:tcPr>
            <w:tcW w:w="1276" w:type="dxa"/>
            <w:tcBorders>
              <w:top w:val="nil"/>
              <w:left w:val="nil"/>
              <w:bottom w:val="nil"/>
              <w:right w:val="nil"/>
            </w:tcBorders>
            <w:shd w:val="clear" w:color="auto" w:fill="F2F2F2" w:themeFill="background1" w:themeFillShade="F2"/>
            <w:noWrap/>
            <w:vAlign w:val="center"/>
            <w:hideMark/>
          </w:tcPr>
          <w:p w14:paraId="5A582EE4" w14:textId="77777777" w:rsidR="001E6DE2" w:rsidRPr="00A12168" w:rsidRDefault="001E6DE2" w:rsidP="00603FD8">
            <w:pPr>
              <w:spacing w:after="0" w:line="240" w:lineRule="auto"/>
              <w:jc w:val="right"/>
              <w:rPr>
                <w:rFonts w:eastAsia="Times New Roman" w:cs="Arial"/>
                <w:b/>
                <w:bCs/>
                <w:color w:val="000000"/>
                <w:sz w:val="20"/>
                <w:szCs w:val="20"/>
                <w:lang w:eastAsia="en-GB"/>
              </w:rPr>
            </w:pPr>
            <w:r w:rsidRPr="00A12168">
              <w:rPr>
                <w:rFonts w:cs="Arial"/>
                <w:b/>
                <w:bCs/>
                <w:color w:val="000000"/>
                <w:sz w:val="20"/>
                <w:szCs w:val="20"/>
              </w:rPr>
              <w:t>4,253</w:t>
            </w:r>
          </w:p>
        </w:tc>
      </w:tr>
    </w:tbl>
    <w:p w14:paraId="0FB4334E" w14:textId="77777777" w:rsidR="00661B92" w:rsidRPr="00661B92" w:rsidRDefault="00661B92" w:rsidP="00661B92">
      <w:pPr>
        <w:pStyle w:val="ListParagraph"/>
        <w:numPr>
          <w:ilvl w:val="0"/>
          <w:numId w:val="0"/>
        </w:numPr>
        <w:spacing w:line="240" w:lineRule="auto"/>
        <w:ind w:left="360"/>
        <w:contextualSpacing w:val="0"/>
        <w:rPr>
          <w:sz w:val="2"/>
          <w:szCs w:val="2"/>
        </w:rPr>
      </w:pPr>
    </w:p>
    <w:p w14:paraId="78FBA8C5" w14:textId="79215B30" w:rsidR="001E6DE2" w:rsidRDefault="001E6DE2" w:rsidP="00661B92">
      <w:pPr>
        <w:pStyle w:val="ListParagraph"/>
        <w:spacing w:line="240" w:lineRule="auto"/>
        <w:contextualSpacing w:val="0"/>
      </w:pPr>
      <w:r w:rsidRPr="00F30C39">
        <w:t xml:space="preserve">The table </w:t>
      </w:r>
      <w:r>
        <w:t>above</w:t>
      </w:r>
      <w:r w:rsidRPr="22E242A2">
        <w:t xml:space="preserve"> </w:t>
      </w:r>
      <w:r w:rsidR="00B03C74">
        <w:t xml:space="preserve">provides NFCC’s </w:t>
      </w:r>
      <w:r w:rsidRPr="22E242A2">
        <w:rPr>
          <w:lang w:val="en-US"/>
        </w:rPr>
        <w:t xml:space="preserve">estimates </w:t>
      </w:r>
      <w:r w:rsidR="00B03C74">
        <w:rPr>
          <w:lang w:val="en-US"/>
        </w:rPr>
        <w:t xml:space="preserve">for England of </w:t>
      </w:r>
      <w:r w:rsidRPr="22E242A2">
        <w:rPr>
          <w:lang w:val="en-US"/>
        </w:rPr>
        <w:t xml:space="preserve">the risks and opportunity costs </w:t>
      </w:r>
      <w:r>
        <w:t>if</w:t>
      </w:r>
      <w:r w:rsidRPr="00AB0127">
        <w:t xml:space="preserve"> </w:t>
      </w:r>
      <w:r>
        <w:t xml:space="preserve">existing resources were diverted away from RBIP activity </w:t>
      </w:r>
      <w:proofErr w:type="gramStart"/>
      <w:r>
        <w:t>in order to</w:t>
      </w:r>
      <w:proofErr w:type="gramEnd"/>
      <w:r>
        <w:t xml:space="preserve"> undertake BSR work.</w:t>
      </w:r>
      <w:r w:rsidRPr="22E242A2">
        <w:rPr>
          <w:lang w:val="en-US"/>
        </w:rPr>
        <w:t xml:space="preserve"> </w:t>
      </w:r>
      <w:r>
        <w:rPr>
          <w:lang w:val="en-US"/>
        </w:rPr>
        <w:t xml:space="preserve">This shows the numbers of </w:t>
      </w:r>
      <w:r w:rsidRPr="22E242A2">
        <w:rPr>
          <w:lang w:val="en-US"/>
        </w:rPr>
        <w:t xml:space="preserve">buildings that will go uninspected as a result. </w:t>
      </w:r>
      <w:r w:rsidRPr="22E242A2">
        <w:rPr>
          <w:rFonts w:eastAsia="Times New Roman"/>
        </w:rPr>
        <w:t>A</w:t>
      </w:r>
      <w:r w:rsidRPr="22E242A2">
        <w:t xml:space="preserve">nalysis undertaken in November 2019 demonstrated that similar levels of resourcing are needed to inspect </w:t>
      </w:r>
      <w:r w:rsidR="00C31789">
        <w:t xml:space="preserve">high rise residential buildings </w:t>
      </w:r>
      <w:r w:rsidR="007E3560">
        <w:t>(</w:t>
      </w:r>
      <w:r w:rsidRPr="22E242A2">
        <w:t>HRRBs</w:t>
      </w:r>
      <w:r w:rsidR="007E3560">
        <w:t>)</w:t>
      </w:r>
      <w:r>
        <w:t xml:space="preserve"> </w:t>
      </w:r>
      <w:r w:rsidRPr="22E242A2">
        <w:t>as are needed for other, higher risk buildings</w:t>
      </w:r>
      <w:r w:rsidR="00B03C74">
        <w:t xml:space="preserve"> (which includes buildings such as Hospitals and Care Homes)</w:t>
      </w:r>
      <w:r w:rsidRPr="22E242A2">
        <w:t xml:space="preserve">. </w:t>
      </w:r>
    </w:p>
    <w:p w14:paraId="494D3ECB" w14:textId="776238B1" w:rsidR="007E3560" w:rsidRPr="00457B15" w:rsidRDefault="007E3560" w:rsidP="00661B92">
      <w:pPr>
        <w:pStyle w:val="ListParagraph"/>
        <w:spacing w:line="240" w:lineRule="auto"/>
        <w:contextualSpacing w:val="0"/>
        <w:rPr>
          <w:rFonts w:cs="Arial"/>
        </w:rPr>
      </w:pPr>
      <w:r w:rsidRPr="00457B15">
        <w:rPr>
          <w:rFonts w:cs="Arial"/>
        </w:rPr>
        <w:t>While new build hospitals and care homes over a certain height will be included within the construction elements of the new regime, ones that are already built and in use or occupation, will not form part of the new regime. This means FRSs will be expected to continue inspecting these as part of existing RBIPs.</w:t>
      </w:r>
    </w:p>
    <w:p w14:paraId="13271764" w14:textId="08AF136E" w:rsidR="00457B15" w:rsidRPr="00457B15" w:rsidRDefault="001E6DE2" w:rsidP="00661B92">
      <w:pPr>
        <w:pStyle w:val="ListParagraph"/>
        <w:spacing w:line="240" w:lineRule="auto"/>
        <w:ind w:left="357" w:hanging="357"/>
        <w:contextualSpacing w:val="0"/>
      </w:pPr>
      <w:r w:rsidRPr="00457B15">
        <w:t xml:space="preserve">The levels of competency required to undertake work in higher risk premises, are </w:t>
      </w:r>
      <w:proofErr w:type="gramStart"/>
      <w:r w:rsidRPr="00457B15">
        <w:t>similar to</w:t>
      </w:r>
      <w:proofErr w:type="gramEnd"/>
      <w:r w:rsidRPr="00457B15">
        <w:t xml:space="preserve"> those needed for the new regime. </w:t>
      </w:r>
      <w:r w:rsidR="00457B15" w:rsidRPr="00457B15">
        <w:t xml:space="preserve"> Pressures for skilled personnel are exacerbated by demand in the private sector, particularly for individuals with the compete</w:t>
      </w:r>
      <w:r w:rsidR="00457B15" w:rsidRPr="005C1AB5">
        <w:t xml:space="preserve">nce to </w:t>
      </w:r>
      <w:r w:rsidR="00457B15" w:rsidRPr="00457B15">
        <w:t xml:space="preserve">assess external wall systems, and those who will have the required skills in the future needed by Building Control Bodies, the </w:t>
      </w:r>
      <w:r w:rsidR="00A654F7">
        <w:t>HSE</w:t>
      </w:r>
      <w:r w:rsidR="00457B15" w:rsidRPr="00457B15">
        <w:t xml:space="preserve">, and companies in the private sector specialising in design, architecture, </w:t>
      </w:r>
      <w:proofErr w:type="gramStart"/>
      <w:r w:rsidR="00457B15" w:rsidRPr="00457B15">
        <w:t>construction</w:t>
      </w:r>
      <w:proofErr w:type="gramEnd"/>
      <w:r w:rsidR="00457B15" w:rsidRPr="00457B15">
        <w:t xml:space="preserve"> and fire safety. </w:t>
      </w:r>
      <w:r w:rsidR="00457B15">
        <w:t xml:space="preserve">It can take between three to five years to train fire safety personnel, depending on what types of </w:t>
      </w:r>
      <w:proofErr w:type="gramStart"/>
      <w:r w:rsidR="00457B15">
        <w:t>role</w:t>
      </w:r>
      <w:proofErr w:type="gramEnd"/>
      <w:r w:rsidR="00457B15">
        <w:t xml:space="preserve"> they are undertaking. </w:t>
      </w:r>
    </w:p>
    <w:p w14:paraId="6B3E619F" w14:textId="58ACE762" w:rsidR="001E6DE2" w:rsidRPr="00652131" w:rsidRDefault="001E6DE2" w:rsidP="00661B92">
      <w:pPr>
        <w:pStyle w:val="ListParagraph"/>
        <w:spacing w:line="240" w:lineRule="auto"/>
        <w:contextualSpacing w:val="0"/>
      </w:pPr>
      <w:r w:rsidRPr="00EA6F89">
        <w:t xml:space="preserve">If the BSR directs </w:t>
      </w:r>
      <w:r>
        <w:t>specialist staff</w:t>
      </w:r>
      <w:r w:rsidRPr="00EA6F89">
        <w:t xml:space="preserve"> towards HR</w:t>
      </w:r>
      <w:r w:rsidR="00D25A19">
        <w:t>R</w:t>
      </w:r>
      <w:r w:rsidRPr="00EA6F89">
        <w:t xml:space="preserve">Bs, the remaining pool of officers </w:t>
      </w:r>
      <w:r>
        <w:t xml:space="preserve">available </w:t>
      </w:r>
      <w:r w:rsidRPr="00EA6F89">
        <w:t xml:space="preserve">for other work are likely to be competent </w:t>
      </w:r>
      <w:r>
        <w:t xml:space="preserve">only </w:t>
      </w:r>
      <w:r w:rsidRPr="00EA6F89">
        <w:t xml:space="preserve">to the </w:t>
      </w:r>
      <w:r>
        <w:t xml:space="preserve">level </w:t>
      </w:r>
      <w:r w:rsidRPr="00EA6F89">
        <w:t xml:space="preserve">required for lower risk premises. This will create a gap of people to inspect buildings which present an even higher risk than HRRBs. </w:t>
      </w:r>
    </w:p>
    <w:p w14:paraId="3FAA1EA3" w14:textId="3AD87C39" w:rsidR="00B03C74" w:rsidRDefault="001E6DE2" w:rsidP="007E5755">
      <w:pPr>
        <w:pStyle w:val="ListParagraph"/>
        <w:spacing w:line="240" w:lineRule="auto"/>
        <w:contextualSpacing w:val="0"/>
      </w:pPr>
      <w:r>
        <w:rPr>
          <w:rFonts w:eastAsia="Times New Roman"/>
        </w:rPr>
        <w:lastRenderedPageBreak/>
        <w:t>I</w:t>
      </w:r>
      <w:r>
        <w:t xml:space="preserve">f new burdens funding is not found for FRSs to deliver the </w:t>
      </w:r>
      <w:r w:rsidRPr="00755A9C">
        <w:t>BSB then up to 4,098 higher risk premises may go uninspected in year one, increasing to 4,253 by year six.</w:t>
      </w:r>
      <w:r>
        <w:t xml:space="preserve"> </w:t>
      </w:r>
    </w:p>
    <w:p w14:paraId="78C123A6" w14:textId="2C3EF3E7" w:rsidR="001E6DE2" w:rsidRDefault="001E6DE2" w:rsidP="007E5755">
      <w:pPr>
        <w:pStyle w:val="ListParagraph"/>
        <w:spacing w:line="240" w:lineRule="auto"/>
        <w:contextualSpacing w:val="0"/>
      </w:pPr>
      <w:r>
        <w:t>Such a departure from RBIP activity will</w:t>
      </w:r>
      <w:r w:rsidRPr="00AB0127">
        <w:t xml:space="preserve"> present legal risks to</w:t>
      </w:r>
      <w:r w:rsidR="00C11D3D">
        <w:t xml:space="preserve"> </w:t>
      </w:r>
      <w:r w:rsidR="00D25A19">
        <w:t>FRA’s</w:t>
      </w:r>
      <w:r w:rsidRPr="00AB0127">
        <w:t>, if they deviate from delivery plans which have already been consulted on</w:t>
      </w:r>
      <w:r w:rsidR="00B03C74">
        <w:t>.</w:t>
      </w:r>
    </w:p>
    <w:p w14:paraId="7DEC9BC9" w14:textId="77777777" w:rsidR="00661B92" w:rsidRPr="00661B92" w:rsidRDefault="00661B92" w:rsidP="00661B92">
      <w:pPr>
        <w:spacing w:line="240" w:lineRule="auto"/>
        <w:ind w:left="0" w:firstLine="0"/>
        <w:rPr>
          <w:b/>
          <w:bCs/>
          <w:sz w:val="2"/>
          <w:szCs w:val="2"/>
        </w:rPr>
      </w:pPr>
    </w:p>
    <w:p w14:paraId="732BD443" w14:textId="042AC52C" w:rsidR="002A23A5" w:rsidRPr="00146FC4" w:rsidRDefault="002A23A5" w:rsidP="00076AF9">
      <w:pPr>
        <w:spacing w:line="259" w:lineRule="auto"/>
        <w:ind w:left="0" w:firstLine="0"/>
        <w:rPr>
          <w:b/>
          <w:bCs/>
        </w:rPr>
      </w:pPr>
      <w:r w:rsidRPr="00146FC4">
        <w:rPr>
          <w:b/>
          <w:bCs/>
        </w:rPr>
        <w:t>Timescale</w:t>
      </w:r>
    </w:p>
    <w:p w14:paraId="737AF67D" w14:textId="77777777" w:rsidR="002A23A5" w:rsidRDefault="002A23A5" w:rsidP="004A3D08">
      <w:pPr>
        <w:pStyle w:val="ListParagraph"/>
        <w:ind w:left="357" w:hanging="357"/>
        <w:contextualSpacing w:val="0"/>
      </w:pPr>
      <w:r>
        <w:t xml:space="preserve">The Building Safety Bill is expected to receive Royal Assent in Spring – summer 2022 with commencement of the new regime under the Building Safety Regulator 12-18 months following (earliest April 2023). </w:t>
      </w:r>
    </w:p>
    <w:p w14:paraId="4F4F05D5" w14:textId="0B3F0625" w:rsidR="002A23A5" w:rsidRDefault="002A23A5" w:rsidP="002A23A5">
      <w:pPr>
        <w:pStyle w:val="ListParagraph"/>
        <w:spacing w:line="240" w:lineRule="auto"/>
        <w:contextualSpacing w:val="0"/>
      </w:pPr>
      <w:r>
        <w:t xml:space="preserve">The report of </w:t>
      </w:r>
      <w:hyperlink r:id="rId19" w:history="1">
        <w:r w:rsidRPr="008259FB">
          <w:rPr>
            <w:rStyle w:val="Hyperlink"/>
            <w:rFonts w:cs="Arial"/>
          </w:rPr>
          <w:t>phase two</w:t>
        </w:r>
      </w:hyperlink>
      <w:r w:rsidRPr="008259FB">
        <w:t xml:space="preserve"> </w:t>
      </w:r>
      <w:r>
        <w:t>of the Grenfell Tower Inquiry is expected in 2022, which is also expected to contain recommendations for</w:t>
      </w:r>
      <w:r w:rsidR="00C11D3D">
        <w:t xml:space="preserve"> </w:t>
      </w:r>
      <w:r w:rsidR="00D25A19">
        <w:t>FRS</w:t>
      </w:r>
      <w:r>
        <w:t xml:space="preserve">. </w:t>
      </w:r>
    </w:p>
    <w:p w14:paraId="259F8FED" w14:textId="77777777" w:rsidR="002A23A5" w:rsidRPr="00626C83" w:rsidRDefault="002A23A5" w:rsidP="002A23A5">
      <w:pPr>
        <w:spacing w:line="240" w:lineRule="auto"/>
        <w:ind w:left="0" w:firstLine="0"/>
        <w:rPr>
          <w:b/>
          <w:bCs/>
        </w:rPr>
      </w:pPr>
      <w:r>
        <w:rPr>
          <w:b/>
          <w:bCs/>
        </w:rPr>
        <w:t xml:space="preserve">Implementing the Bill  </w:t>
      </w:r>
    </w:p>
    <w:p w14:paraId="75613EE0" w14:textId="6953151D" w:rsidR="002A23A5" w:rsidRDefault="002A23A5" w:rsidP="002A23A5">
      <w:pPr>
        <w:pStyle w:val="ListParagraph"/>
        <w:spacing w:line="240" w:lineRule="auto"/>
        <w:contextualSpacing w:val="0"/>
      </w:pPr>
      <w:r>
        <w:t>The Bill will require MDTs working to the Building Safety Regulator (BSR, sitting within HSE) to approve new multi-occupied residential buildings over 18m at planning stage, design stage (before construction can begin) and construction stage (before occupation can take place). Numbers of estimated new builds</w:t>
      </w:r>
      <w:r w:rsidR="004847D8">
        <w:t>,</w:t>
      </w:r>
      <w:r>
        <w:t xml:space="preserve"> </w:t>
      </w:r>
      <w:r w:rsidR="004847D8">
        <w:t xml:space="preserve">based on known data, are likely to </w:t>
      </w:r>
      <w:r>
        <w:t xml:space="preserve">range from 400 – 800p.a. It is also assumed there will be around 600 major refurbishments on average (over ten years). </w:t>
      </w:r>
    </w:p>
    <w:p w14:paraId="2EB61807" w14:textId="08B73269" w:rsidR="002A23A5" w:rsidRDefault="002A23A5" w:rsidP="002A23A5">
      <w:pPr>
        <w:pStyle w:val="ListParagraph"/>
        <w:spacing w:line="240" w:lineRule="auto"/>
        <w:contextualSpacing w:val="0"/>
      </w:pPr>
      <w:r>
        <w:t>The Bill will also require the Building Safety Regulator to approve safety cases for all existing multi-occupied residential buildings over 18m</w:t>
      </w:r>
      <w:r w:rsidR="004847D8">
        <w:t xml:space="preserve"> (12,500 or so)</w:t>
      </w:r>
      <w:r>
        <w:t xml:space="preserve">. It is estimated that as existing regulators of fire safety in occupied buildings, that </w:t>
      </w:r>
      <w:proofErr w:type="gramStart"/>
      <w:r>
        <w:t>the majority of</w:t>
      </w:r>
      <w:proofErr w:type="gramEnd"/>
      <w:r>
        <w:t xml:space="preserve"> the new burden for Safety Cases will fall to FRSs. </w:t>
      </w:r>
    </w:p>
    <w:p w14:paraId="1AC499BD" w14:textId="11F39BA2" w:rsidR="002A23A5" w:rsidRDefault="002A23A5" w:rsidP="002A23A5">
      <w:pPr>
        <w:pStyle w:val="ListParagraph"/>
        <w:spacing w:line="240" w:lineRule="auto"/>
        <w:contextualSpacing w:val="0"/>
      </w:pPr>
      <w:r>
        <w:t xml:space="preserve">The HSE intends to deliver the approval of </w:t>
      </w:r>
      <w:r w:rsidR="00344681">
        <w:t>S</w:t>
      </w:r>
      <w:r>
        <w:t xml:space="preserve">afety </w:t>
      </w:r>
      <w:r w:rsidR="00344681">
        <w:t>C</w:t>
      </w:r>
      <w:r>
        <w:t xml:space="preserve">ases in five tranches, one tranche per year starting in 2024-5. </w:t>
      </w:r>
    </w:p>
    <w:p w14:paraId="034AAF4C" w14:textId="77777777" w:rsidR="002A23A5" w:rsidRDefault="002A23A5" w:rsidP="002A23A5">
      <w:pPr>
        <w:pStyle w:val="ListParagraph"/>
        <w:spacing w:line="240" w:lineRule="auto"/>
        <w:contextualSpacing w:val="0"/>
      </w:pPr>
      <w:r>
        <w:t>The safety case approach focuses on Accountable Persons and whether the regulator has confidence in them, rather than on the buildings they manage. Instead of a checklist approach the HSE wants a culture change.</w:t>
      </w:r>
    </w:p>
    <w:p w14:paraId="4FB246A6" w14:textId="339A5010" w:rsidR="00B03C74" w:rsidRDefault="00E16639" w:rsidP="00B03C74">
      <w:sdt>
        <w:sdtPr>
          <w:rPr>
            <w:rStyle w:val="Style6"/>
          </w:rPr>
          <w:alias w:val="Next steps"/>
          <w:tag w:val="Next steps"/>
          <w:id w:val="538939935"/>
          <w:placeholder>
            <w:docPart w:val="30902C0890364CAEA1C7BA29860589BB"/>
          </w:placeholder>
        </w:sdtPr>
        <w:sdtEndPr>
          <w:rPr>
            <w:rStyle w:val="Style6"/>
          </w:rPr>
        </w:sdtEndPr>
        <w:sdtContent>
          <w:r w:rsidR="009B6F95" w:rsidRPr="009B1AA8">
            <w:rPr>
              <w:rStyle w:val="Style6"/>
            </w:rPr>
            <w:t>Next steps</w:t>
          </w:r>
        </w:sdtContent>
      </w:sdt>
    </w:p>
    <w:p w14:paraId="2F54AFFE" w14:textId="42FBC49B" w:rsidR="00B03C74" w:rsidRDefault="00B03C74" w:rsidP="007E5755">
      <w:pPr>
        <w:pStyle w:val="ListParagraph"/>
        <w:spacing w:line="240" w:lineRule="auto"/>
        <w:contextualSpacing w:val="0"/>
      </w:pPr>
      <w:r>
        <w:t xml:space="preserve">NFCC continues to work via the JRG and other forums to support the HSE in the effective development of a target operating model towards which FRSs can begin making more detailed plans. </w:t>
      </w:r>
    </w:p>
    <w:p w14:paraId="5EF07D56" w14:textId="503498BA" w:rsidR="00B03C74" w:rsidRPr="00674BA7" w:rsidRDefault="00B03C74" w:rsidP="007E5755">
      <w:pPr>
        <w:pStyle w:val="ListParagraph"/>
        <w:spacing w:line="240" w:lineRule="auto"/>
        <w:contextualSpacing w:val="0"/>
      </w:pPr>
      <w:r w:rsidRPr="00674BA7">
        <w:t xml:space="preserve">In the meantime, </w:t>
      </w:r>
      <w:r w:rsidR="00344681" w:rsidRPr="00674BA7">
        <w:t xml:space="preserve">Derbyshire </w:t>
      </w:r>
      <w:r w:rsidRPr="00674BA7">
        <w:t>FRS</w:t>
      </w:r>
      <w:r w:rsidR="00344681" w:rsidRPr="00674BA7">
        <w:t xml:space="preserve"> will work with the NFCC to help identify additional resource requirements to inform r</w:t>
      </w:r>
      <w:r w:rsidRPr="00674BA7">
        <w:t xml:space="preserve">ecruitment, development and training of additional fire safety inspecting officers and fire safety engineers. </w:t>
      </w:r>
    </w:p>
    <w:p w14:paraId="2C4006E1" w14:textId="0BDB5FCF" w:rsidR="00B03C74" w:rsidRPr="00674BA7" w:rsidRDefault="00BC28FC" w:rsidP="007E5755">
      <w:pPr>
        <w:pStyle w:val="ListParagraph"/>
        <w:spacing w:line="240" w:lineRule="auto"/>
        <w:contextualSpacing w:val="0"/>
      </w:pPr>
      <w:r w:rsidRPr="00674BA7">
        <w:t xml:space="preserve">FRA </w:t>
      </w:r>
      <w:r w:rsidR="00B03C74" w:rsidRPr="00674BA7">
        <w:t>training: The LGA offer a building safety session on the Fire Leadership Essentials course. There was a session on building safety at the fire conference this year. In planning next year’s conference, the Fire Services Management Committee will consider the opportunity to raise FRA awareness of the Fire Safety Act and Building Safety Bill.</w:t>
      </w:r>
    </w:p>
    <w:p w14:paraId="51F825B9" w14:textId="3C4DFEE2" w:rsidR="00B03C74" w:rsidRDefault="00B03C74" w:rsidP="007E5755">
      <w:pPr>
        <w:pStyle w:val="ListParagraph"/>
        <w:spacing w:line="240" w:lineRule="auto"/>
        <w:contextualSpacing w:val="0"/>
        <w:rPr>
          <w:rStyle w:val="ReportTemplate"/>
        </w:rPr>
      </w:pPr>
      <w:r w:rsidRPr="00674BA7">
        <w:rPr>
          <w:rStyle w:val="ReportTemplate"/>
        </w:rPr>
        <w:t>Derbyshire FRS will</w:t>
      </w:r>
      <w:r>
        <w:rPr>
          <w:rStyle w:val="ReportTemplate"/>
        </w:rPr>
        <w:t xml:space="preserve"> </w:t>
      </w:r>
      <w:r w:rsidRPr="007E5755">
        <w:t>continue</w:t>
      </w:r>
      <w:r>
        <w:rPr>
          <w:rStyle w:val="ReportTemplate"/>
        </w:rPr>
        <w:t xml:space="preserve"> to support the Authority’s work to keep residents safe and reform the buildings safety system.</w:t>
      </w:r>
    </w:p>
    <w:p w14:paraId="73739C25" w14:textId="3A744263" w:rsidR="006159FE" w:rsidRDefault="006159FE" w:rsidP="006159FE"/>
    <w:p w14:paraId="19239AD2" w14:textId="52C497B4" w:rsidR="006159FE" w:rsidRPr="006159FE" w:rsidRDefault="006159FE" w:rsidP="006159FE">
      <w:pPr>
        <w:rPr>
          <w:b/>
          <w:bCs/>
        </w:rPr>
      </w:pPr>
      <w:r w:rsidRPr="006159FE">
        <w:rPr>
          <w:b/>
          <w:bCs/>
        </w:rPr>
        <w:lastRenderedPageBreak/>
        <w:t xml:space="preserve">Annex 1 – Estimated Legislative Timetable </w:t>
      </w:r>
    </w:p>
    <w:p w14:paraId="20E3661F" w14:textId="0E3B1720" w:rsidR="006159FE" w:rsidRDefault="00C26558" w:rsidP="00C26558">
      <w:pPr>
        <w:jc w:val="center"/>
      </w:pPr>
      <w:r>
        <w:rPr>
          <w:noProof/>
        </w:rPr>
        <w:drawing>
          <wp:inline distT="0" distB="0" distL="0" distR="0" wp14:anchorId="0BF2E591" wp14:editId="583F0BAD">
            <wp:extent cx="6106331" cy="3888000"/>
            <wp:effectExtent l="0" t="0" r="0" b="0"/>
            <wp:docPr id="3" name="Picture 3" descr="Tex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timeline&#10;&#10;Description automatically generated"/>
                    <pic:cNvPicPr/>
                  </pic:nvPicPr>
                  <pic:blipFill>
                    <a:blip r:embed="rId20"/>
                    <a:stretch>
                      <a:fillRect/>
                    </a:stretch>
                  </pic:blipFill>
                  <pic:spPr>
                    <a:xfrm>
                      <a:off x="0" y="0"/>
                      <a:ext cx="6106331" cy="3888000"/>
                    </a:xfrm>
                    <a:prstGeom prst="rect">
                      <a:avLst/>
                    </a:prstGeom>
                  </pic:spPr>
                </pic:pic>
              </a:graphicData>
            </a:graphic>
          </wp:inline>
        </w:drawing>
      </w:r>
    </w:p>
    <w:p w14:paraId="06490FEC" w14:textId="77777777" w:rsidR="00254158" w:rsidRDefault="00254158">
      <w:pPr>
        <w:spacing w:line="259" w:lineRule="auto"/>
        <w:ind w:left="0" w:firstLine="0"/>
      </w:pPr>
      <w:r>
        <w:br w:type="page"/>
      </w:r>
    </w:p>
    <w:p w14:paraId="577B177D" w14:textId="45812956" w:rsidR="006159FE" w:rsidRPr="00FA4FE2" w:rsidRDefault="00254158" w:rsidP="006159FE">
      <w:pPr>
        <w:rPr>
          <w:b/>
          <w:bCs/>
          <w:sz w:val="24"/>
          <w:szCs w:val="24"/>
        </w:rPr>
      </w:pPr>
      <w:r w:rsidRPr="00FA4FE2">
        <w:rPr>
          <w:b/>
          <w:bCs/>
          <w:sz w:val="24"/>
          <w:szCs w:val="24"/>
        </w:rPr>
        <w:lastRenderedPageBreak/>
        <w:t>Annex 2 – Glossary of terms</w:t>
      </w:r>
    </w:p>
    <w:tbl>
      <w:tblPr>
        <w:tblStyle w:val="TableGrid"/>
        <w:tblW w:w="0" w:type="auto"/>
        <w:tblInd w:w="-5" w:type="dxa"/>
        <w:tblLook w:val="04A0" w:firstRow="1" w:lastRow="0" w:firstColumn="1" w:lastColumn="0" w:noHBand="0" w:noVBand="1"/>
      </w:tblPr>
      <w:tblGrid>
        <w:gridCol w:w="3119"/>
        <w:gridCol w:w="5902"/>
      </w:tblGrid>
      <w:tr w:rsidR="00254158" w14:paraId="4478262B" w14:textId="77777777" w:rsidTr="00A43506">
        <w:tc>
          <w:tcPr>
            <w:tcW w:w="3119" w:type="dxa"/>
          </w:tcPr>
          <w:p w14:paraId="68FA2E4A" w14:textId="77777777" w:rsidR="00254158" w:rsidRDefault="00254158" w:rsidP="00347013">
            <w:pPr>
              <w:ind w:left="0" w:firstLine="0"/>
            </w:pPr>
            <w:r w:rsidRPr="00347013">
              <w:rPr>
                <w:rFonts w:cs="Arial"/>
              </w:rPr>
              <w:t>Building</w:t>
            </w:r>
            <w:r>
              <w:t xml:space="preserve"> Safety Bill (BSB) </w:t>
            </w:r>
          </w:p>
          <w:p w14:paraId="4AFB4D9F" w14:textId="77777777" w:rsidR="00254158" w:rsidRDefault="00254158" w:rsidP="006159FE">
            <w:pPr>
              <w:ind w:left="0" w:firstLine="0"/>
            </w:pPr>
          </w:p>
        </w:tc>
        <w:tc>
          <w:tcPr>
            <w:tcW w:w="5902" w:type="dxa"/>
          </w:tcPr>
          <w:p w14:paraId="46D3C28A" w14:textId="73AB895F" w:rsidR="00254158" w:rsidRDefault="00A43506" w:rsidP="006159FE">
            <w:pPr>
              <w:ind w:left="0" w:firstLine="0"/>
            </w:pPr>
            <w:r>
              <w:t xml:space="preserve">Bill currently going through Parliament, which builds on the outcomes of the </w:t>
            </w:r>
            <w:r w:rsidRPr="007F534B">
              <w:rPr>
                <w:i/>
                <w:iCs/>
              </w:rPr>
              <w:t>Independent Review of Building Regulations and Fire Safety</w:t>
            </w:r>
            <w:r>
              <w:t xml:space="preserve"> that the </w:t>
            </w:r>
            <w:r w:rsidR="007F534B">
              <w:t>G</w:t>
            </w:r>
            <w:r>
              <w:t xml:space="preserve">overnment commissioned following the Grenfell Tower Fire. </w:t>
            </w:r>
          </w:p>
          <w:p w14:paraId="23E13CDC" w14:textId="77777777" w:rsidR="00F94AB0" w:rsidRDefault="00F94AB0" w:rsidP="006159FE">
            <w:pPr>
              <w:ind w:left="0" w:firstLine="0"/>
            </w:pPr>
          </w:p>
          <w:p w14:paraId="3B1F8EFD" w14:textId="77777777" w:rsidR="00F94AB0" w:rsidRDefault="00E16639" w:rsidP="006159FE">
            <w:pPr>
              <w:ind w:left="0" w:firstLine="0"/>
              <w:rPr>
                <w:rStyle w:val="Hyperlink"/>
              </w:rPr>
            </w:pPr>
            <w:hyperlink r:id="rId21" w:history="1">
              <w:r w:rsidR="00F94AB0" w:rsidRPr="00F94AB0">
                <w:rPr>
                  <w:rStyle w:val="Hyperlink"/>
                </w:rPr>
                <w:t>Building Safety Bill: important documents GOV.UK</w:t>
              </w:r>
            </w:hyperlink>
          </w:p>
          <w:p w14:paraId="080CBB8B" w14:textId="77777777" w:rsidR="00042B10" w:rsidRDefault="00042B10" w:rsidP="006159FE">
            <w:pPr>
              <w:ind w:left="0" w:firstLine="0"/>
              <w:rPr>
                <w:rStyle w:val="Hyperlink"/>
              </w:rPr>
            </w:pPr>
          </w:p>
          <w:p w14:paraId="25DDAE65" w14:textId="5010A780" w:rsidR="00042B10" w:rsidRDefault="00E16639" w:rsidP="006159FE">
            <w:pPr>
              <w:ind w:left="0" w:firstLine="0"/>
            </w:pPr>
            <w:hyperlink r:id="rId22" w:history="1">
              <w:r w:rsidR="00545E11" w:rsidRPr="00634B66">
                <w:rPr>
                  <w:rStyle w:val="Hyperlink"/>
                </w:rPr>
                <w:t xml:space="preserve">Factsheets </w:t>
              </w:r>
              <w:r w:rsidR="00634B66" w:rsidRPr="00634B66">
                <w:rPr>
                  <w:rStyle w:val="Hyperlink"/>
                </w:rPr>
                <w:t>related to the Building Safety Bill on GOV.UK</w:t>
              </w:r>
            </w:hyperlink>
          </w:p>
        </w:tc>
      </w:tr>
      <w:tr w:rsidR="007736C5" w14:paraId="38E51B44" w14:textId="77777777" w:rsidTr="00A43506">
        <w:tc>
          <w:tcPr>
            <w:tcW w:w="3119" w:type="dxa"/>
          </w:tcPr>
          <w:p w14:paraId="0249FD63" w14:textId="553B9F89" w:rsidR="007736C5" w:rsidRDefault="007736C5" w:rsidP="00347013">
            <w:pPr>
              <w:ind w:left="0" w:firstLine="0"/>
            </w:pPr>
            <w:r w:rsidRPr="00347013">
              <w:rPr>
                <w:rFonts w:cs="Arial"/>
              </w:rPr>
              <w:t>Building</w:t>
            </w:r>
            <w:r>
              <w:t xml:space="preserve"> Safety Charge</w:t>
            </w:r>
            <w:r w:rsidR="007F534B">
              <w:t xml:space="preserve"> (BSC)</w:t>
            </w:r>
            <w:r>
              <w:t xml:space="preserve"> </w:t>
            </w:r>
          </w:p>
        </w:tc>
        <w:tc>
          <w:tcPr>
            <w:tcW w:w="5902" w:type="dxa"/>
          </w:tcPr>
          <w:p w14:paraId="38424019" w14:textId="77777777" w:rsidR="007736C5" w:rsidRDefault="007736C5" w:rsidP="006159FE">
            <w:pPr>
              <w:ind w:left="0" w:firstLine="0"/>
            </w:pPr>
            <w:r>
              <w:t>The Building Safety Bill establishes new legal duties for landlords and building owners. There will be a cost associated with some of these duties, which can be passed to leaseholders through a new Building Safety Charge.</w:t>
            </w:r>
          </w:p>
          <w:p w14:paraId="3B25B1C1" w14:textId="77777777" w:rsidR="007736C5" w:rsidRDefault="007736C5" w:rsidP="006159FE">
            <w:pPr>
              <w:ind w:left="0" w:firstLine="0"/>
            </w:pPr>
          </w:p>
          <w:p w14:paraId="3BFB347E" w14:textId="29AA4CC0" w:rsidR="007736C5" w:rsidRDefault="00E16639" w:rsidP="006159FE">
            <w:pPr>
              <w:ind w:left="0" w:firstLine="0"/>
            </w:pPr>
            <w:hyperlink r:id="rId23" w:history="1">
              <w:r w:rsidR="007736C5" w:rsidRPr="007736C5">
                <w:rPr>
                  <w:rStyle w:val="Hyperlink"/>
                </w:rPr>
                <w:t>Building Safety Charge Factsheet for landlords and building owners GOV.UK</w:t>
              </w:r>
            </w:hyperlink>
            <w:r w:rsidR="007736C5">
              <w:t xml:space="preserve"> </w:t>
            </w:r>
          </w:p>
          <w:p w14:paraId="7A2B2A69" w14:textId="51AAD4F6" w:rsidR="007736C5" w:rsidRDefault="007736C5" w:rsidP="006159FE">
            <w:pPr>
              <w:ind w:left="0" w:firstLine="0"/>
            </w:pPr>
          </w:p>
          <w:p w14:paraId="6B8A6F84" w14:textId="16C1FE92" w:rsidR="007736C5" w:rsidRDefault="00E16639" w:rsidP="006159FE">
            <w:pPr>
              <w:ind w:left="0" w:firstLine="0"/>
            </w:pPr>
            <w:hyperlink r:id="rId24" w:history="1">
              <w:r w:rsidR="007736C5" w:rsidRPr="007736C5">
                <w:rPr>
                  <w:rStyle w:val="Hyperlink"/>
                </w:rPr>
                <w:t>Building Safety Charge Factsheet for leaseholders GOV.UK</w:t>
              </w:r>
            </w:hyperlink>
          </w:p>
        </w:tc>
      </w:tr>
      <w:tr w:rsidR="00254158" w14:paraId="79E8C6CC" w14:textId="77777777" w:rsidTr="00A43506">
        <w:tc>
          <w:tcPr>
            <w:tcW w:w="3119" w:type="dxa"/>
          </w:tcPr>
          <w:p w14:paraId="59E88F7E" w14:textId="77777777" w:rsidR="00254158" w:rsidRPr="00F94AB0" w:rsidRDefault="00254158" w:rsidP="00347013">
            <w:pPr>
              <w:ind w:left="0" w:firstLine="0"/>
              <w:rPr>
                <w:rFonts w:cs="Arial"/>
              </w:rPr>
            </w:pPr>
            <w:r w:rsidRPr="00F94AB0">
              <w:rPr>
                <w:rFonts w:cs="Arial"/>
              </w:rPr>
              <w:t xml:space="preserve">Building Safety Regulator (BSR) </w:t>
            </w:r>
          </w:p>
          <w:p w14:paraId="505D126B" w14:textId="77777777" w:rsidR="00254158" w:rsidRPr="00F94AB0" w:rsidRDefault="00254158" w:rsidP="006159FE">
            <w:pPr>
              <w:ind w:left="0" w:firstLine="0"/>
              <w:rPr>
                <w:rFonts w:cs="Arial"/>
              </w:rPr>
            </w:pPr>
          </w:p>
        </w:tc>
        <w:tc>
          <w:tcPr>
            <w:tcW w:w="5902" w:type="dxa"/>
          </w:tcPr>
          <w:p w14:paraId="4DCEA2F0" w14:textId="77777777" w:rsidR="00254158" w:rsidRPr="00F94AB0" w:rsidRDefault="00A43506" w:rsidP="006159FE">
            <w:pPr>
              <w:ind w:left="0" w:firstLine="0"/>
              <w:rPr>
                <w:rFonts w:cs="Arial"/>
              </w:rPr>
            </w:pPr>
            <w:r w:rsidRPr="00F94AB0">
              <w:rPr>
                <w:rFonts w:cs="Arial"/>
              </w:rPr>
              <w:t xml:space="preserve">A new regulator, proposed by the BSB, which will be run by the Health and Safety Executive (HSE) </w:t>
            </w:r>
          </w:p>
          <w:p w14:paraId="3B87B5A8" w14:textId="77777777" w:rsidR="00F94AB0" w:rsidRPr="00F94AB0" w:rsidRDefault="00F94AB0" w:rsidP="006159FE">
            <w:pPr>
              <w:ind w:left="0" w:firstLine="0"/>
              <w:rPr>
                <w:rFonts w:cs="Arial"/>
              </w:rPr>
            </w:pPr>
          </w:p>
          <w:p w14:paraId="1D9861B3" w14:textId="045F78D6" w:rsidR="00F94AB0" w:rsidRPr="00F94AB0" w:rsidRDefault="00E16639" w:rsidP="006159FE">
            <w:pPr>
              <w:ind w:left="0" w:firstLine="0"/>
              <w:rPr>
                <w:rFonts w:cs="Arial"/>
              </w:rPr>
            </w:pPr>
            <w:hyperlink r:id="rId25" w:history="1">
              <w:r w:rsidR="00F94AB0" w:rsidRPr="00F94AB0">
                <w:rPr>
                  <w:rStyle w:val="Hyperlink"/>
                  <w:rFonts w:cs="Arial"/>
                </w:rPr>
                <w:t>Building Safety Regulator Factsheet GOV.UK</w:t>
              </w:r>
            </w:hyperlink>
          </w:p>
        </w:tc>
      </w:tr>
      <w:tr w:rsidR="009914AF" w14:paraId="20E2900C" w14:textId="77777777" w:rsidTr="00A43506">
        <w:tc>
          <w:tcPr>
            <w:tcW w:w="3119" w:type="dxa"/>
          </w:tcPr>
          <w:p w14:paraId="1BCB2AB9" w14:textId="60C7CF25" w:rsidR="009914AF" w:rsidRPr="0029696D" w:rsidRDefault="009914AF" w:rsidP="00347013">
            <w:pPr>
              <w:ind w:left="0" w:firstLine="0"/>
              <w:rPr>
                <w:rFonts w:cs="Arial"/>
              </w:rPr>
            </w:pPr>
            <w:r w:rsidRPr="0029696D">
              <w:rPr>
                <w:rFonts w:cs="Arial"/>
              </w:rPr>
              <w:t>The Fire Safety Act (FSA)</w:t>
            </w:r>
          </w:p>
        </w:tc>
        <w:tc>
          <w:tcPr>
            <w:tcW w:w="5902" w:type="dxa"/>
          </w:tcPr>
          <w:p w14:paraId="5F6858CB" w14:textId="0A854A3E" w:rsidR="0029696D" w:rsidRPr="0029696D" w:rsidRDefault="009914AF" w:rsidP="0029696D">
            <w:pPr>
              <w:spacing w:before="100" w:beforeAutospacing="1" w:after="100" w:afterAutospacing="1" w:line="240" w:lineRule="auto"/>
              <w:ind w:left="0" w:firstLine="0"/>
              <w:rPr>
                <w:rFonts w:eastAsia="Times New Roman" w:cs="Arial"/>
                <w:lang w:eastAsia="en-GB"/>
              </w:rPr>
            </w:pPr>
            <w:r w:rsidRPr="0029696D">
              <w:rPr>
                <w:rFonts w:cs="Arial"/>
              </w:rPr>
              <w:t>Passed in 2021, yet to commence, the Fire Safety Act clarifies that the FSO applies to</w:t>
            </w:r>
            <w:r w:rsidR="0029696D">
              <w:rPr>
                <w:rFonts w:cs="Arial"/>
              </w:rPr>
              <w:t xml:space="preserve">: </w:t>
            </w:r>
          </w:p>
          <w:p w14:paraId="432C5D75" w14:textId="37414E5F" w:rsidR="009914AF" w:rsidRPr="0029696D" w:rsidRDefault="009914AF" w:rsidP="0029696D">
            <w:pPr>
              <w:pStyle w:val="paragraph"/>
              <w:numPr>
                <w:ilvl w:val="0"/>
                <w:numId w:val="18"/>
              </w:numPr>
              <w:ind w:left="340" w:hanging="227"/>
              <w:textAlignment w:val="baseline"/>
              <w:rPr>
                <w:rFonts w:ascii="Arial" w:hAnsi="Arial" w:cs="Arial"/>
                <w:sz w:val="22"/>
                <w:szCs w:val="22"/>
              </w:rPr>
            </w:pPr>
            <w:r w:rsidRPr="0029696D">
              <w:rPr>
                <w:rFonts w:ascii="Arial" w:hAnsi="Arial" w:cs="Arial"/>
                <w:sz w:val="22"/>
                <w:szCs w:val="22"/>
              </w:rPr>
              <w:t xml:space="preserve">the building’s structure and external walls (including windows, balconies, cladding, </w:t>
            </w:r>
            <w:proofErr w:type="gramStart"/>
            <w:r w:rsidRPr="0029696D">
              <w:rPr>
                <w:rFonts w:ascii="Arial" w:hAnsi="Arial" w:cs="Arial"/>
                <w:sz w:val="22"/>
                <w:szCs w:val="22"/>
              </w:rPr>
              <w:t>insulation</w:t>
            </w:r>
            <w:proofErr w:type="gramEnd"/>
            <w:r w:rsidRPr="0029696D">
              <w:rPr>
                <w:rFonts w:ascii="Arial" w:hAnsi="Arial" w:cs="Arial"/>
                <w:sz w:val="22"/>
                <w:szCs w:val="22"/>
              </w:rPr>
              <w:t xml:space="preserve"> and fixings) and any common parts</w:t>
            </w:r>
          </w:p>
          <w:p w14:paraId="6ABD7CB4" w14:textId="77777777" w:rsidR="009914AF" w:rsidRDefault="009914AF" w:rsidP="0029696D">
            <w:pPr>
              <w:pStyle w:val="paragraph"/>
              <w:numPr>
                <w:ilvl w:val="0"/>
                <w:numId w:val="18"/>
              </w:numPr>
              <w:ind w:left="340" w:hanging="227"/>
              <w:textAlignment w:val="baseline"/>
              <w:rPr>
                <w:rFonts w:ascii="Arial" w:hAnsi="Arial" w:cs="Arial"/>
                <w:sz w:val="22"/>
                <w:szCs w:val="22"/>
              </w:rPr>
            </w:pPr>
            <w:r w:rsidRPr="009914AF">
              <w:rPr>
                <w:rStyle w:val="normaltextrun"/>
                <w:rFonts w:ascii="Arial" w:hAnsi="Arial" w:cs="Arial"/>
                <w:sz w:val="22"/>
                <w:szCs w:val="22"/>
              </w:rPr>
              <w:t>all</w:t>
            </w:r>
            <w:r w:rsidRPr="009914AF">
              <w:rPr>
                <w:rFonts w:ascii="Arial" w:hAnsi="Arial" w:cs="Arial"/>
                <w:sz w:val="22"/>
                <w:szCs w:val="22"/>
              </w:rPr>
              <w:t xml:space="preserve"> doors between domestic premises and common parts such as flat entrance doors (or any other relevant door)</w:t>
            </w:r>
          </w:p>
          <w:p w14:paraId="5C32B8A6" w14:textId="05E99F37" w:rsidR="0029696D" w:rsidRPr="0029696D" w:rsidRDefault="00E16639" w:rsidP="0029696D">
            <w:pPr>
              <w:pStyle w:val="paragraph"/>
              <w:textAlignment w:val="baseline"/>
              <w:rPr>
                <w:rFonts w:ascii="Arial" w:hAnsi="Arial" w:cs="Arial"/>
                <w:sz w:val="22"/>
                <w:szCs w:val="22"/>
              </w:rPr>
            </w:pPr>
            <w:hyperlink r:id="rId26" w:history="1">
              <w:r w:rsidR="0029696D" w:rsidRPr="0029696D">
                <w:rPr>
                  <w:rStyle w:val="Hyperlink"/>
                  <w:rFonts w:ascii="Arial" w:hAnsi="Arial" w:cs="Arial"/>
                  <w:sz w:val="22"/>
                  <w:szCs w:val="22"/>
                </w:rPr>
                <w:t>Fire Safety Act information GOV.UK</w:t>
              </w:r>
            </w:hyperlink>
          </w:p>
        </w:tc>
      </w:tr>
      <w:tr w:rsidR="009914AF" w14:paraId="6AE70E4E" w14:textId="77777777" w:rsidTr="00A43506">
        <w:tc>
          <w:tcPr>
            <w:tcW w:w="3119" w:type="dxa"/>
          </w:tcPr>
          <w:p w14:paraId="182CBDB5" w14:textId="3DF16DDD" w:rsidR="009914AF" w:rsidRPr="00F94AB0" w:rsidRDefault="009914AF" w:rsidP="00347013">
            <w:pPr>
              <w:ind w:left="0" w:firstLine="0"/>
              <w:rPr>
                <w:rFonts w:cs="Arial"/>
              </w:rPr>
            </w:pPr>
            <w:r>
              <w:rPr>
                <w:rFonts w:cs="Arial"/>
              </w:rPr>
              <w:t>Fire Safety Order (FSO)</w:t>
            </w:r>
          </w:p>
        </w:tc>
        <w:tc>
          <w:tcPr>
            <w:tcW w:w="5902" w:type="dxa"/>
          </w:tcPr>
          <w:p w14:paraId="10C0AEE9" w14:textId="77777777" w:rsidR="009914AF" w:rsidRDefault="009914AF" w:rsidP="006159FE">
            <w:pPr>
              <w:ind w:left="0" w:firstLine="0"/>
              <w:rPr>
                <w:rFonts w:cs="Arial"/>
              </w:rPr>
            </w:pPr>
            <w:r>
              <w:rPr>
                <w:rFonts w:cs="Arial"/>
              </w:rPr>
              <w:t xml:space="preserve">The Regulatory Reform (Fire Safety) Order 2005 </w:t>
            </w:r>
          </w:p>
          <w:p w14:paraId="077692B6" w14:textId="1E0DC163" w:rsidR="009914AF" w:rsidRPr="00F94AB0" w:rsidRDefault="009914AF" w:rsidP="006159FE">
            <w:pPr>
              <w:ind w:left="0" w:firstLine="0"/>
              <w:rPr>
                <w:rFonts w:cs="Arial"/>
              </w:rPr>
            </w:pPr>
          </w:p>
        </w:tc>
      </w:tr>
      <w:tr w:rsidR="009B1349" w14:paraId="5D785FFA" w14:textId="77777777" w:rsidTr="00A43506">
        <w:tc>
          <w:tcPr>
            <w:tcW w:w="3119" w:type="dxa"/>
          </w:tcPr>
          <w:p w14:paraId="464A2DC8" w14:textId="232C701C" w:rsidR="009B1349" w:rsidRDefault="009B1349" w:rsidP="00347013">
            <w:pPr>
              <w:ind w:left="0" w:firstLine="0"/>
              <w:rPr>
                <w:rFonts w:cs="Arial"/>
              </w:rPr>
            </w:pPr>
            <w:r>
              <w:rPr>
                <w:rFonts w:cs="Arial"/>
              </w:rPr>
              <w:t xml:space="preserve">Gateways </w:t>
            </w:r>
          </w:p>
        </w:tc>
        <w:tc>
          <w:tcPr>
            <w:tcW w:w="5902" w:type="dxa"/>
          </w:tcPr>
          <w:p w14:paraId="4FCC2BCC" w14:textId="33E890D9" w:rsidR="009B1349" w:rsidRDefault="009B1349" w:rsidP="006159FE">
            <w:pPr>
              <w:ind w:left="0" w:firstLine="0"/>
              <w:rPr>
                <w:rFonts w:cs="Arial"/>
              </w:rPr>
            </w:pPr>
            <w:r>
              <w:rPr>
                <w:rFonts w:cs="Arial"/>
              </w:rPr>
              <w:t xml:space="preserve">The </w:t>
            </w:r>
            <w:r w:rsidR="006B638F">
              <w:rPr>
                <w:rFonts w:cs="Arial"/>
              </w:rPr>
              <w:t xml:space="preserve">name for the </w:t>
            </w:r>
            <w:r w:rsidR="00EE6172">
              <w:rPr>
                <w:rFonts w:cs="Arial"/>
              </w:rPr>
              <w:t xml:space="preserve">proposed new regime for </w:t>
            </w:r>
            <w:r w:rsidR="00CB65D5">
              <w:rPr>
                <w:rFonts w:cs="Arial"/>
              </w:rPr>
              <w:t xml:space="preserve">more stringent control of new buildings during design and build phase. </w:t>
            </w:r>
          </w:p>
          <w:p w14:paraId="62B24BC9" w14:textId="77777777" w:rsidR="00CB65D5" w:rsidRDefault="00CB65D5" w:rsidP="006159FE">
            <w:pPr>
              <w:ind w:left="0" w:firstLine="0"/>
              <w:rPr>
                <w:rFonts w:cs="Arial"/>
              </w:rPr>
            </w:pPr>
          </w:p>
          <w:p w14:paraId="26CB39E2" w14:textId="4E454987" w:rsidR="00CB65D5" w:rsidRDefault="00E16639" w:rsidP="006159FE">
            <w:pPr>
              <w:ind w:left="0" w:firstLine="0"/>
              <w:rPr>
                <w:rFonts w:cs="Arial"/>
              </w:rPr>
            </w:pPr>
            <w:hyperlink r:id="rId27" w:history="1">
              <w:r w:rsidR="006B638F" w:rsidRPr="006B638F">
                <w:rPr>
                  <w:rStyle w:val="Hyperlink"/>
                  <w:rFonts w:cs="Arial"/>
                </w:rPr>
                <w:t>Building control regime for higher risk-buildings (</w:t>
              </w:r>
              <w:r w:rsidR="00CB65D5" w:rsidRPr="006B638F">
                <w:rPr>
                  <w:rStyle w:val="Hyperlink"/>
                  <w:rFonts w:cs="Arial"/>
                </w:rPr>
                <w:t>Gateways 2 and 3</w:t>
              </w:r>
              <w:r w:rsidR="006B638F" w:rsidRPr="006B638F">
                <w:rPr>
                  <w:rStyle w:val="Hyperlink"/>
                  <w:rFonts w:cs="Arial"/>
                </w:rPr>
                <w:t xml:space="preserve">) </w:t>
              </w:r>
              <w:r w:rsidR="00CB65D5" w:rsidRPr="006B638F">
                <w:rPr>
                  <w:rStyle w:val="Hyperlink"/>
                  <w:rFonts w:cs="Arial"/>
                </w:rPr>
                <w:t>Factsheet GOV.UK</w:t>
              </w:r>
            </w:hyperlink>
            <w:r w:rsidR="00CB65D5">
              <w:rPr>
                <w:rFonts w:cs="Arial"/>
              </w:rPr>
              <w:t xml:space="preserve"> </w:t>
            </w:r>
          </w:p>
        </w:tc>
      </w:tr>
      <w:tr w:rsidR="00F94AB0" w14:paraId="20DC49EB" w14:textId="77777777" w:rsidTr="00A43506">
        <w:tc>
          <w:tcPr>
            <w:tcW w:w="3119" w:type="dxa"/>
          </w:tcPr>
          <w:p w14:paraId="64FE5CE1" w14:textId="538AF53A" w:rsidR="00F94AB0" w:rsidRPr="0029696D" w:rsidRDefault="00F94AB0" w:rsidP="00347013">
            <w:pPr>
              <w:ind w:left="0" w:firstLine="0"/>
              <w:rPr>
                <w:rFonts w:cs="Arial"/>
              </w:rPr>
            </w:pPr>
            <w:r w:rsidRPr="0029696D">
              <w:rPr>
                <w:rFonts w:cs="Arial"/>
              </w:rPr>
              <w:lastRenderedPageBreak/>
              <w:t>Golden Thread</w:t>
            </w:r>
          </w:p>
        </w:tc>
        <w:tc>
          <w:tcPr>
            <w:tcW w:w="5902" w:type="dxa"/>
          </w:tcPr>
          <w:p w14:paraId="141F48DD" w14:textId="11F1DF82" w:rsidR="00F94AB0" w:rsidRPr="0029696D" w:rsidRDefault="00F94AB0" w:rsidP="00F94AB0">
            <w:pPr>
              <w:spacing w:before="100" w:beforeAutospacing="1" w:after="100" w:afterAutospacing="1" w:line="240" w:lineRule="auto"/>
              <w:ind w:left="0" w:firstLine="0"/>
              <w:rPr>
                <w:rFonts w:eastAsia="Times New Roman" w:cs="Arial"/>
                <w:lang w:eastAsia="en-GB"/>
              </w:rPr>
            </w:pPr>
            <w:r w:rsidRPr="0029696D">
              <w:rPr>
                <w:rFonts w:eastAsia="Times New Roman" w:cs="Arial"/>
                <w:lang w:eastAsia="en-GB"/>
              </w:rPr>
              <w:t>Proposed requirement as part of the new regulatory regime to create and maintain a golden thread of information. The golden thread is both:</w:t>
            </w:r>
          </w:p>
          <w:p w14:paraId="0F3AF305" w14:textId="77777777" w:rsidR="00F94AB0" w:rsidRPr="0029696D" w:rsidRDefault="00F94AB0" w:rsidP="0029696D">
            <w:pPr>
              <w:pStyle w:val="paragraph"/>
              <w:numPr>
                <w:ilvl w:val="0"/>
                <w:numId w:val="18"/>
              </w:numPr>
              <w:ind w:left="340" w:hanging="227"/>
              <w:textAlignment w:val="baseline"/>
              <w:rPr>
                <w:rFonts w:ascii="Arial" w:hAnsi="Arial" w:cs="Arial"/>
                <w:sz w:val="22"/>
                <w:szCs w:val="22"/>
              </w:rPr>
            </w:pPr>
            <w:r w:rsidRPr="0029696D">
              <w:rPr>
                <w:rStyle w:val="normaltextrun"/>
                <w:rFonts w:ascii="Arial" w:hAnsi="Arial" w:cs="Arial"/>
                <w:sz w:val="22"/>
                <w:szCs w:val="22"/>
              </w:rPr>
              <w:t>the</w:t>
            </w:r>
            <w:r w:rsidRPr="0029696D">
              <w:rPr>
                <w:rFonts w:ascii="Arial" w:hAnsi="Arial" w:cs="Arial"/>
                <w:sz w:val="22"/>
                <w:szCs w:val="22"/>
              </w:rPr>
              <w:t xml:space="preserve"> information about a building that allows someone to understand a building and keep it safe, and</w:t>
            </w:r>
          </w:p>
          <w:p w14:paraId="20DE7FC6" w14:textId="7F96EDD7" w:rsidR="00F94AB0" w:rsidRPr="0029696D" w:rsidRDefault="00F94AB0" w:rsidP="0029696D">
            <w:pPr>
              <w:pStyle w:val="paragraph"/>
              <w:numPr>
                <w:ilvl w:val="0"/>
                <w:numId w:val="18"/>
              </w:numPr>
              <w:ind w:left="340" w:hanging="227"/>
              <w:textAlignment w:val="baseline"/>
              <w:rPr>
                <w:rFonts w:ascii="Arial" w:hAnsi="Arial" w:cs="Arial"/>
                <w:sz w:val="22"/>
                <w:szCs w:val="22"/>
              </w:rPr>
            </w:pPr>
            <w:r w:rsidRPr="0029696D">
              <w:rPr>
                <w:rStyle w:val="normaltextrun"/>
                <w:rFonts w:ascii="Arial" w:hAnsi="Arial" w:cs="Arial"/>
                <w:sz w:val="22"/>
                <w:szCs w:val="22"/>
              </w:rPr>
              <w:t>the</w:t>
            </w:r>
            <w:r w:rsidRPr="0029696D">
              <w:rPr>
                <w:rFonts w:ascii="Arial" w:hAnsi="Arial" w:cs="Arial"/>
                <w:sz w:val="22"/>
                <w:szCs w:val="22"/>
              </w:rPr>
              <w:t xml:space="preserve"> information management to ensure the information is accurate, easily understandable, can be accessed by those who need it and is up to date</w:t>
            </w:r>
          </w:p>
          <w:p w14:paraId="0D3E0F44" w14:textId="48C39FF5" w:rsidR="00F94AB0" w:rsidRPr="0029696D" w:rsidRDefault="00E16639" w:rsidP="006159FE">
            <w:pPr>
              <w:ind w:left="0" w:firstLine="0"/>
              <w:rPr>
                <w:rFonts w:cs="Arial"/>
              </w:rPr>
            </w:pPr>
            <w:hyperlink r:id="rId28" w:history="1">
              <w:r w:rsidR="00F94AB0" w:rsidRPr="0029696D">
                <w:rPr>
                  <w:rStyle w:val="Hyperlink"/>
                  <w:rFonts w:cs="Arial"/>
                </w:rPr>
                <w:t>Golden Thread Factsheet GOV.UK</w:t>
              </w:r>
            </w:hyperlink>
          </w:p>
        </w:tc>
      </w:tr>
      <w:tr w:rsidR="00347013" w14:paraId="120F63E8" w14:textId="77777777" w:rsidTr="00A43506">
        <w:tc>
          <w:tcPr>
            <w:tcW w:w="3119" w:type="dxa"/>
          </w:tcPr>
          <w:p w14:paraId="4DCE00E1" w14:textId="13E4FE71" w:rsidR="00347013" w:rsidRPr="00F94AB0" w:rsidRDefault="00347013" w:rsidP="00347013">
            <w:pPr>
              <w:ind w:left="0" w:firstLine="0"/>
              <w:rPr>
                <w:rFonts w:cs="Arial"/>
              </w:rPr>
            </w:pPr>
            <w:r>
              <w:rPr>
                <w:rFonts w:cs="Arial"/>
              </w:rPr>
              <w:t>High Rise Residential Buildings (HRRBs)</w:t>
            </w:r>
          </w:p>
        </w:tc>
        <w:tc>
          <w:tcPr>
            <w:tcW w:w="5902" w:type="dxa"/>
          </w:tcPr>
          <w:p w14:paraId="73049685" w14:textId="229609AA" w:rsidR="00347013" w:rsidRPr="00F94AB0" w:rsidRDefault="00347013" w:rsidP="00F94AB0">
            <w:pPr>
              <w:spacing w:before="100" w:beforeAutospacing="1" w:after="100" w:afterAutospacing="1" w:line="240" w:lineRule="auto"/>
              <w:ind w:left="0" w:firstLine="0"/>
              <w:rPr>
                <w:rFonts w:eastAsia="Times New Roman" w:cs="Arial"/>
                <w:lang w:eastAsia="en-GB"/>
              </w:rPr>
            </w:pPr>
            <w:r>
              <w:rPr>
                <w:rFonts w:cs="Arial"/>
              </w:rPr>
              <w:t>For the purposes of the BSB, residential</w:t>
            </w:r>
            <w:r>
              <w:t xml:space="preserve"> buildings that are at least 18 metres in height or have at least 7 storeys and have at least two residential units. </w:t>
            </w:r>
          </w:p>
        </w:tc>
      </w:tr>
      <w:tr w:rsidR="004A7E52" w14:paraId="23DAD59C" w14:textId="77777777" w:rsidTr="00A43506">
        <w:tc>
          <w:tcPr>
            <w:tcW w:w="3119" w:type="dxa"/>
          </w:tcPr>
          <w:p w14:paraId="6773F7FC" w14:textId="3BB940B5" w:rsidR="004A7E52" w:rsidRPr="00F94AB0" w:rsidRDefault="004A7E52" w:rsidP="00347013">
            <w:pPr>
              <w:ind w:left="0" w:firstLine="0"/>
              <w:rPr>
                <w:rFonts w:cs="Arial"/>
              </w:rPr>
            </w:pPr>
            <w:r>
              <w:rPr>
                <w:rFonts w:cs="Arial"/>
              </w:rPr>
              <w:t>Higher Risk Buildings (HRBs)</w:t>
            </w:r>
            <w:r w:rsidR="00347013">
              <w:rPr>
                <w:rFonts w:cs="Arial"/>
              </w:rPr>
              <w:t xml:space="preserve"> / Buildings in Scope </w:t>
            </w:r>
          </w:p>
        </w:tc>
        <w:tc>
          <w:tcPr>
            <w:tcW w:w="5902" w:type="dxa"/>
          </w:tcPr>
          <w:p w14:paraId="0DD6A6A4" w14:textId="51ED8A91" w:rsidR="004A7E52" w:rsidRDefault="004A7E52" w:rsidP="00F94AB0">
            <w:pPr>
              <w:spacing w:before="100" w:beforeAutospacing="1" w:after="100" w:afterAutospacing="1" w:line="240" w:lineRule="auto"/>
              <w:ind w:left="0" w:firstLine="0"/>
              <w:rPr>
                <w:rFonts w:eastAsia="Times New Roman" w:cs="Arial"/>
                <w:lang w:eastAsia="en-GB"/>
              </w:rPr>
            </w:pPr>
            <w:r>
              <w:rPr>
                <w:rFonts w:eastAsia="Times New Roman" w:cs="Arial"/>
                <w:lang w:eastAsia="en-GB"/>
              </w:rPr>
              <w:t xml:space="preserve">Initially the new regime will only apply to </w:t>
            </w:r>
            <w:r>
              <w:rPr>
                <w:rFonts w:cs="Arial"/>
              </w:rPr>
              <w:t>residential</w:t>
            </w:r>
            <w:r>
              <w:t xml:space="preserve"> buildings that are at least 18 metres in height or have at least 7 storeys and have at least two residential units. It also applies to care homes and hospitals meeting the same height threshold during design and construction.</w:t>
            </w:r>
          </w:p>
          <w:p w14:paraId="66FD70BC" w14:textId="4AA2F29C" w:rsidR="004A7E52" w:rsidRPr="00F94AB0" w:rsidRDefault="00E16639" w:rsidP="00F94AB0">
            <w:pPr>
              <w:spacing w:before="100" w:beforeAutospacing="1" w:after="100" w:afterAutospacing="1" w:line="240" w:lineRule="auto"/>
              <w:ind w:left="0" w:firstLine="0"/>
              <w:rPr>
                <w:rFonts w:eastAsia="Times New Roman" w:cs="Arial"/>
                <w:lang w:eastAsia="en-GB"/>
              </w:rPr>
            </w:pPr>
            <w:hyperlink r:id="rId29" w:history="1">
              <w:r w:rsidR="004A7E52" w:rsidRPr="004A7E52">
                <w:rPr>
                  <w:rStyle w:val="Hyperlink"/>
                  <w:rFonts w:eastAsia="Times New Roman" w:cs="Arial"/>
                  <w:lang w:eastAsia="en-GB"/>
                </w:rPr>
                <w:t>Buildings included in the new more stringent regulatory regime Factsheet GOV.UK</w:t>
              </w:r>
            </w:hyperlink>
            <w:r w:rsidR="004A7E52">
              <w:rPr>
                <w:rFonts w:eastAsia="Times New Roman" w:cs="Arial"/>
                <w:lang w:eastAsia="en-GB"/>
              </w:rPr>
              <w:t xml:space="preserve"> </w:t>
            </w:r>
          </w:p>
        </w:tc>
      </w:tr>
      <w:tr w:rsidR="00883EF0" w14:paraId="511F71CD" w14:textId="77777777" w:rsidTr="00A43506">
        <w:tc>
          <w:tcPr>
            <w:tcW w:w="3119" w:type="dxa"/>
          </w:tcPr>
          <w:p w14:paraId="371E0324" w14:textId="45F23A54" w:rsidR="00883EF0" w:rsidRDefault="00883EF0" w:rsidP="00347013">
            <w:pPr>
              <w:ind w:left="0" w:firstLine="0"/>
              <w:rPr>
                <w:rFonts w:cs="Arial"/>
              </w:rPr>
            </w:pPr>
            <w:r>
              <w:rPr>
                <w:rFonts w:cs="Arial"/>
              </w:rPr>
              <w:t xml:space="preserve">Integrated Risk Management Plans (IRMP) </w:t>
            </w:r>
          </w:p>
        </w:tc>
        <w:tc>
          <w:tcPr>
            <w:tcW w:w="5902" w:type="dxa"/>
          </w:tcPr>
          <w:p w14:paraId="379174B6" w14:textId="77777777" w:rsidR="00883EF0" w:rsidRDefault="00883EF0" w:rsidP="00F94AB0">
            <w:pPr>
              <w:spacing w:before="100" w:beforeAutospacing="1" w:after="100" w:afterAutospacing="1" w:line="240" w:lineRule="auto"/>
              <w:ind w:left="0" w:firstLine="0"/>
              <w:rPr>
                <w:rStyle w:val="normaltextrun"/>
                <w:rFonts w:cs="Arial"/>
              </w:rPr>
            </w:pPr>
            <w:r>
              <w:rPr>
                <w:rStyle w:val="normaltextrun"/>
                <w:rFonts w:cs="Arial"/>
              </w:rPr>
              <w:t>Under section 4.6 of the Fire and Rescue National Framework for England, each FRA must produce an Integrated Risk Management Plan (IRMP) – now commonly referred to as a Community Risk Management Plan (CRMP).</w:t>
            </w:r>
          </w:p>
          <w:p w14:paraId="58A15099" w14:textId="67897D2E" w:rsidR="009914AF" w:rsidRPr="009914AF" w:rsidRDefault="00883EF0" w:rsidP="00883EF0">
            <w:pPr>
              <w:pStyle w:val="paragraph"/>
              <w:numPr>
                <w:ilvl w:val="0"/>
                <w:numId w:val="18"/>
              </w:numPr>
              <w:ind w:left="340" w:hanging="227"/>
              <w:textAlignment w:val="baseline"/>
              <w:rPr>
                <w:rStyle w:val="normaltextrun"/>
                <w:rFonts w:ascii="Arial" w:hAnsi="Arial" w:cs="Arial"/>
                <w:sz w:val="22"/>
                <w:szCs w:val="22"/>
              </w:rPr>
            </w:pPr>
            <w:r>
              <w:rPr>
                <w:rStyle w:val="normaltextrun"/>
                <w:rFonts w:ascii="Arial" w:hAnsi="Arial" w:cs="Arial"/>
                <w:sz w:val="22"/>
                <w:szCs w:val="22"/>
              </w:rPr>
              <w:t>These plans</w:t>
            </w:r>
            <w:r w:rsidR="009914AF">
              <w:rPr>
                <w:rStyle w:val="normaltextrun"/>
                <w:rFonts w:ascii="Arial" w:hAnsi="Arial" w:cs="Arial"/>
                <w:sz w:val="22"/>
                <w:szCs w:val="22"/>
              </w:rPr>
              <w:t xml:space="preserve"> will include a management strategy and a risk-based inspection programme (RBIP) for enforcing the Fire Safety Order</w:t>
            </w:r>
            <w:r w:rsidR="009914AF">
              <w:rPr>
                <w:rStyle w:val="eop"/>
                <w:rFonts w:ascii="Arial" w:hAnsi="Arial" w:cs="Arial"/>
                <w:sz w:val="22"/>
                <w:szCs w:val="22"/>
              </w:rPr>
              <w:t> </w:t>
            </w:r>
          </w:p>
          <w:p w14:paraId="3EB0D62B" w14:textId="2F31B7FC" w:rsidR="00883EF0" w:rsidRDefault="009914AF" w:rsidP="00883EF0">
            <w:pPr>
              <w:pStyle w:val="paragraph"/>
              <w:textAlignment w:val="baseline"/>
            </w:pPr>
            <w:r>
              <w:rPr>
                <w:rStyle w:val="normaltextrun"/>
                <w:rFonts w:ascii="Arial" w:hAnsi="Arial" w:cs="Arial"/>
                <w:sz w:val="22"/>
                <w:szCs w:val="22"/>
              </w:rPr>
              <w:t>These plans</w:t>
            </w:r>
            <w:r w:rsidR="00883EF0">
              <w:rPr>
                <w:rStyle w:val="normaltextrun"/>
                <w:rFonts w:ascii="Arial" w:hAnsi="Arial" w:cs="Arial"/>
                <w:sz w:val="22"/>
                <w:szCs w:val="22"/>
              </w:rPr>
              <w:t xml:space="preserve"> must</w:t>
            </w:r>
            <w:r>
              <w:rPr>
                <w:rStyle w:val="normaltextrun"/>
                <w:rFonts w:ascii="Arial" w:hAnsi="Arial" w:cs="Arial"/>
                <w:sz w:val="22"/>
                <w:szCs w:val="22"/>
              </w:rPr>
              <w:t xml:space="preserve"> also</w:t>
            </w:r>
            <w:r w:rsidR="00883EF0">
              <w:rPr>
                <w:rStyle w:val="normaltextrun"/>
                <w:rFonts w:ascii="Arial" w:hAnsi="Arial" w:cs="Arial"/>
                <w:sz w:val="22"/>
                <w:szCs w:val="22"/>
              </w:rPr>
              <w:t>:</w:t>
            </w:r>
            <w:r w:rsidR="00883EF0">
              <w:rPr>
                <w:rStyle w:val="eop"/>
                <w:rFonts w:ascii="Arial" w:hAnsi="Arial" w:cs="Arial"/>
                <w:sz w:val="22"/>
                <w:szCs w:val="22"/>
              </w:rPr>
              <w:t> </w:t>
            </w:r>
          </w:p>
          <w:p w14:paraId="211505B7" w14:textId="77777777" w:rsidR="00883EF0" w:rsidRDefault="00883EF0" w:rsidP="00883EF0">
            <w:pPr>
              <w:pStyle w:val="paragraph"/>
              <w:numPr>
                <w:ilvl w:val="0"/>
                <w:numId w:val="18"/>
              </w:numPr>
              <w:ind w:left="340" w:hanging="227"/>
              <w:textAlignment w:val="baseline"/>
              <w:rPr>
                <w:rFonts w:ascii="Arial" w:hAnsi="Arial" w:cs="Arial"/>
                <w:sz w:val="22"/>
                <w:szCs w:val="22"/>
              </w:rPr>
            </w:pPr>
            <w:r>
              <w:rPr>
                <w:rStyle w:val="normaltextrun"/>
                <w:rFonts w:ascii="Arial" w:hAnsi="Arial" w:cs="Arial"/>
                <w:sz w:val="22"/>
                <w:szCs w:val="22"/>
              </w:rPr>
              <w:t>Provide an up-to-date risk analysis of all foreseeable risks</w:t>
            </w:r>
            <w:r>
              <w:rPr>
                <w:rStyle w:val="eop"/>
                <w:rFonts w:ascii="Arial" w:hAnsi="Arial" w:cs="Arial"/>
                <w:sz w:val="22"/>
                <w:szCs w:val="22"/>
              </w:rPr>
              <w:t> </w:t>
            </w:r>
          </w:p>
          <w:p w14:paraId="3E890C01" w14:textId="77777777" w:rsidR="00883EF0" w:rsidRDefault="00883EF0" w:rsidP="00883EF0">
            <w:pPr>
              <w:pStyle w:val="paragraph"/>
              <w:numPr>
                <w:ilvl w:val="0"/>
                <w:numId w:val="18"/>
              </w:numPr>
              <w:ind w:left="340" w:hanging="227"/>
              <w:textAlignment w:val="baseline"/>
              <w:rPr>
                <w:rFonts w:ascii="Arial" w:hAnsi="Arial" w:cs="Arial"/>
                <w:sz w:val="22"/>
                <w:szCs w:val="22"/>
              </w:rPr>
            </w:pPr>
            <w:r>
              <w:rPr>
                <w:rStyle w:val="normaltextrun"/>
                <w:rFonts w:ascii="Arial" w:hAnsi="Arial" w:cs="Arial"/>
                <w:sz w:val="22"/>
                <w:szCs w:val="22"/>
              </w:rPr>
              <w:t>Demonstrate how prevention, protection and response activities will be used to prevent fires and other incidents, and mitigate the effects of incidents that occur in a way that makes best use of available resources</w:t>
            </w:r>
            <w:r>
              <w:rPr>
                <w:rStyle w:val="eop"/>
                <w:rFonts w:ascii="Arial" w:hAnsi="Arial" w:cs="Arial"/>
                <w:sz w:val="22"/>
                <w:szCs w:val="22"/>
              </w:rPr>
              <w:t> </w:t>
            </w:r>
          </w:p>
          <w:p w14:paraId="2A9E69FE" w14:textId="77777777" w:rsidR="00883EF0" w:rsidRDefault="00883EF0" w:rsidP="00883EF0">
            <w:pPr>
              <w:pStyle w:val="paragraph"/>
              <w:numPr>
                <w:ilvl w:val="0"/>
                <w:numId w:val="18"/>
              </w:numPr>
              <w:ind w:left="340" w:hanging="227"/>
              <w:textAlignment w:val="baseline"/>
              <w:rPr>
                <w:rFonts w:ascii="Arial" w:hAnsi="Arial" w:cs="Arial"/>
                <w:sz w:val="22"/>
                <w:szCs w:val="22"/>
              </w:rPr>
            </w:pPr>
            <w:r>
              <w:rPr>
                <w:rStyle w:val="normaltextrun"/>
                <w:rFonts w:ascii="Arial" w:hAnsi="Arial" w:cs="Arial"/>
                <w:sz w:val="22"/>
                <w:szCs w:val="22"/>
              </w:rPr>
              <w:t>Outline required service delivery outcomes including the allocation of resources for the mitigation of risks</w:t>
            </w:r>
            <w:r>
              <w:rPr>
                <w:rStyle w:val="eop"/>
                <w:rFonts w:ascii="Arial" w:hAnsi="Arial" w:cs="Arial"/>
                <w:sz w:val="22"/>
                <w:szCs w:val="22"/>
              </w:rPr>
              <w:t> </w:t>
            </w:r>
          </w:p>
          <w:p w14:paraId="47A57195" w14:textId="77777777" w:rsidR="00883EF0" w:rsidRDefault="00883EF0" w:rsidP="00883EF0">
            <w:pPr>
              <w:pStyle w:val="paragraph"/>
              <w:numPr>
                <w:ilvl w:val="0"/>
                <w:numId w:val="18"/>
              </w:numPr>
              <w:ind w:left="340" w:hanging="227"/>
              <w:textAlignment w:val="baseline"/>
              <w:rPr>
                <w:rFonts w:ascii="Arial" w:hAnsi="Arial" w:cs="Arial"/>
                <w:sz w:val="22"/>
                <w:szCs w:val="22"/>
              </w:rPr>
            </w:pPr>
            <w:r>
              <w:rPr>
                <w:rStyle w:val="normaltextrun"/>
                <w:rFonts w:ascii="Arial" w:hAnsi="Arial" w:cs="Arial"/>
                <w:sz w:val="22"/>
                <w:szCs w:val="22"/>
              </w:rPr>
              <w:t>Cover at least a 3-year time span</w:t>
            </w:r>
            <w:r>
              <w:rPr>
                <w:rStyle w:val="eop"/>
                <w:rFonts w:ascii="Arial" w:hAnsi="Arial" w:cs="Arial"/>
                <w:sz w:val="22"/>
                <w:szCs w:val="22"/>
              </w:rPr>
              <w:t> </w:t>
            </w:r>
          </w:p>
          <w:p w14:paraId="31034DED" w14:textId="77777777" w:rsidR="00883EF0" w:rsidRDefault="00883EF0" w:rsidP="00883EF0">
            <w:pPr>
              <w:pStyle w:val="paragraph"/>
              <w:numPr>
                <w:ilvl w:val="0"/>
                <w:numId w:val="18"/>
              </w:numPr>
              <w:ind w:left="340" w:hanging="227"/>
              <w:textAlignment w:val="baseline"/>
              <w:rPr>
                <w:rFonts w:ascii="Arial" w:hAnsi="Arial" w:cs="Arial"/>
                <w:sz w:val="22"/>
                <w:szCs w:val="22"/>
              </w:rPr>
            </w:pPr>
            <w:r>
              <w:rPr>
                <w:rStyle w:val="normaltextrun"/>
                <w:rFonts w:ascii="Arial" w:hAnsi="Arial" w:cs="Arial"/>
                <w:sz w:val="22"/>
                <w:szCs w:val="22"/>
              </w:rPr>
              <w:t>Consult with the community, its workforce, Rep bodies and other stakeholders on the proposed content of the plan</w:t>
            </w:r>
            <w:r>
              <w:rPr>
                <w:rStyle w:val="eop"/>
                <w:rFonts w:ascii="Arial" w:hAnsi="Arial" w:cs="Arial"/>
                <w:sz w:val="22"/>
                <w:szCs w:val="22"/>
              </w:rPr>
              <w:t> </w:t>
            </w:r>
          </w:p>
          <w:p w14:paraId="156B516D" w14:textId="71B4FBC0" w:rsidR="00883EF0" w:rsidRPr="00883EF0" w:rsidRDefault="00883EF0" w:rsidP="009914AF">
            <w:pPr>
              <w:pStyle w:val="paragraph"/>
              <w:numPr>
                <w:ilvl w:val="0"/>
                <w:numId w:val="18"/>
              </w:numPr>
              <w:ind w:left="340" w:hanging="227"/>
              <w:textAlignment w:val="baseline"/>
              <w:rPr>
                <w:rFonts w:eastAsiaTheme="minorHAnsi" w:cs="Arial"/>
                <w:lang w:eastAsia="en-US"/>
              </w:rPr>
            </w:pPr>
            <w:r>
              <w:rPr>
                <w:rStyle w:val="normaltextrun"/>
                <w:rFonts w:ascii="Arial" w:hAnsi="Arial" w:cs="Arial"/>
                <w:sz w:val="22"/>
                <w:szCs w:val="22"/>
              </w:rPr>
              <w:t>Be easily accessible and publicly available</w:t>
            </w:r>
          </w:p>
        </w:tc>
      </w:tr>
      <w:tr w:rsidR="00254158" w14:paraId="50EC5DDB" w14:textId="77777777" w:rsidTr="00A43506">
        <w:tc>
          <w:tcPr>
            <w:tcW w:w="3119" w:type="dxa"/>
          </w:tcPr>
          <w:p w14:paraId="721F77D8" w14:textId="0E6C035E" w:rsidR="00254158" w:rsidRDefault="00A43506" w:rsidP="006159FE">
            <w:pPr>
              <w:ind w:left="0" w:firstLine="0"/>
            </w:pPr>
            <w:r w:rsidRPr="00347013">
              <w:rPr>
                <w:rFonts w:cs="Arial"/>
              </w:rPr>
              <w:lastRenderedPageBreak/>
              <w:t>Local</w:t>
            </w:r>
            <w:r>
              <w:t xml:space="preserve"> Authority Building Control (LABC) </w:t>
            </w:r>
          </w:p>
        </w:tc>
        <w:tc>
          <w:tcPr>
            <w:tcW w:w="5902" w:type="dxa"/>
          </w:tcPr>
          <w:p w14:paraId="3C457D80" w14:textId="3A0F1F77" w:rsidR="00254158" w:rsidRDefault="00A43506" w:rsidP="006159FE">
            <w:pPr>
              <w:ind w:left="0" w:firstLine="0"/>
            </w:pPr>
            <w:r>
              <w:t xml:space="preserve">Organisation representing all local authority building control teams in England and Wales. </w:t>
            </w:r>
          </w:p>
        </w:tc>
      </w:tr>
      <w:tr w:rsidR="00883EF0" w14:paraId="2DB7A7EC" w14:textId="77777777" w:rsidTr="00A43506">
        <w:tc>
          <w:tcPr>
            <w:tcW w:w="3119" w:type="dxa"/>
          </w:tcPr>
          <w:p w14:paraId="66FF4D01" w14:textId="32AFE2B5" w:rsidR="00883EF0" w:rsidRPr="00347013" w:rsidRDefault="00883EF0" w:rsidP="006159FE">
            <w:pPr>
              <w:ind w:left="0" w:firstLine="0"/>
              <w:rPr>
                <w:rFonts w:cs="Arial"/>
              </w:rPr>
            </w:pPr>
            <w:r>
              <w:rPr>
                <w:rFonts w:cs="Arial"/>
              </w:rPr>
              <w:t xml:space="preserve">Risk Based Inspection Programme (RBIP) </w:t>
            </w:r>
          </w:p>
        </w:tc>
        <w:tc>
          <w:tcPr>
            <w:tcW w:w="5902" w:type="dxa"/>
          </w:tcPr>
          <w:p w14:paraId="6B3A1154" w14:textId="67BFC665" w:rsidR="00883EF0" w:rsidRDefault="009914AF" w:rsidP="006159FE">
            <w:pPr>
              <w:ind w:left="0" w:firstLine="0"/>
            </w:pPr>
            <w:r>
              <w:rPr>
                <w:rStyle w:val="normaltextrun"/>
                <w:rFonts w:cs="Arial"/>
              </w:rPr>
              <w:t>A management strategy for enforcing the Fire Safety Order</w:t>
            </w:r>
            <w:r>
              <w:rPr>
                <w:rStyle w:val="eop"/>
                <w:rFonts w:cs="Arial"/>
              </w:rPr>
              <w:t> w</w:t>
            </w:r>
            <w:r>
              <w:rPr>
                <w:rStyle w:val="eop"/>
              </w:rPr>
              <w:t xml:space="preserve">hich prioritises resources based on risk. FRAs are required by the Home Office to </w:t>
            </w:r>
            <w:r w:rsidRPr="009914AF">
              <w:rPr>
                <w:rStyle w:val="eop"/>
                <w:i/>
                <w:iCs/>
              </w:rPr>
              <w:t xml:space="preserve">“target their fire safety, prevention and protection resources </w:t>
            </w:r>
            <w:proofErr w:type="gramStart"/>
            <w:r w:rsidRPr="009914AF">
              <w:rPr>
                <w:rStyle w:val="eop"/>
                <w:i/>
                <w:iCs/>
              </w:rPr>
              <w:t>on:</w:t>
            </w:r>
            <w:proofErr w:type="gramEnd"/>
            <w:r w:rsidRPr="009914AF">
              <w:rPr>
                <w:rStyle w:val="eop"/>
                <w:i/>
                <w:iCs/>
              </w:rPr>
              <w:t xml:space="preserve"> those individuals or households who are at greatest risk from fire in the home; those most likely to engage in arson or deliberate fire setting; and on those non-domestic premises where the life safety risk is greatest. Consideration could also be given to non-domestic premises which are at risk from fire </w:t>
            </w:r>
            <w:proofErr w:type="gramStart"/>
            <w:r w:rsidRPr="009914AF">
              <w:rPr>
                <w:rStyle w:val="eop"/>
                <w:i/>
                <w:iCs/>
              </w:rPr>
              <w:t>in order to</w:t>
            </w:r>
            <w:proofErr w:type="gramEnd"/>
            <w:r w:rsidRPr="009914AF">
              <w:rPr>
                <w:rStyle w:val="eop"/>
                <w:i/>
                <w:iCs/>
              </w:rPr>
              <w:t xml:space="preserve"> mitigate loss to economic wellbeing.”</w:t>
            </w:r>
          </w:p>
        </w:tc>
      </w:tr>
      <w:tr w:rsidR="00254158" w14:paraId="488AF594" w14:textId="77777777" w:rsidTr="00A43506">
        <w:tc>
          <w:tcPr>
            <w:tcW w:w="3119" w:type="dxa"/>
          </w:tcPr>
          <w:p w14:paraId="16D989E8" w14:textId="66C065EA" w:rsidR="00254158" w:rsidRDefault="004A7E52" w:rsidP="006159FE">
            <w:pPr>
              <w:ind w:left="0" w:firstLine="0"/>
            </w:pPr>
            <w:r w:rsidRPr="00347013">
              <w:rPr>
                <w:rFonts w:cs="Arial"/>
              </w:rPr>
              <w:t>Safety</w:t>
            </w:r>
            <w:r>
              <w:t xml:space="preserve"> Case </w:t>
            </w:r>
          </w:p>
        </w:tc>
        <w:tc>
          <w:tcPr>
            <w:tcW w:w="5902" w:type="dxa"/>
          </w:tcPr>
          <w:p w14:paraId="2E8C5BFE" w14:textId="64F1C829" w:rsidR="00254158" w:rsidRDefault="004A7E52" w:rsidP="006159FE">
            <w:pPr>
              <w:ind w:left="0" w:firstLine="0"/>
            </w:pPr>
            <w:r>
              <w:t xml:space="preserve">The Building Safety Bill introduces new requirements for building owners to assess and manage building safety risks in buildings within scope. </w:t>
            </w:r>
          </w:p>
          <w:p w14:paraId="18DA3FCD" w14:textId="77777777" w:rsidR="004A7E52" w:rsidRDefault="004A7E52" w:rsidP="006159FE">
            <w:pPr>
              <w:ind w:left="0" w:firstLine="0"/>
            </w:pPr>
          </w:p>
          <w:p w14:paraId="328C399C" w14:textId="4638537C" w:rsidR="004A7E52" w:rsidRDefault="00E16639" w:rsidP="006159FE">
            <w:pPr>
              <w:ind w:left="0" w:firstLine="0"/>
            </w:pPr>
            <w:hyperlink r:id="rId30" w:history="1">
              <w:r w:rsidR="004A7E52" w:rsidRPr="004A7E52">
                <w:rPr>
                  <w:rStyle w:val="Hyperlink"/>
                </w:rPr>
                <w:t>Safety Case Factsheet GOV.UK</w:t>
              </w:r>
            </w:hyperlink>
          </w:p>
        </w:tc>
      </w:tr>
    </w:tbl>
    <w:p w14:paraId="313EA793" w14:textId="77777777" w:rsidR="00254158" w:rsidRDefault="00254158" w:rsidP="006159FE"/>
    <w:p w14:paraId="358EE202" w14:textId="77777777" w:rsidR="00254158" w:rsidRPr="00C803F3" w:rsidRDefault="00254158" w:rsidP="006159FE"/>
    <w:sectPr w:rsidR="00254158" w:rsidRPr="00C803F3" w:rsidSect="00571AF6">
      <w:headerReference w:type="default" r:id="rId31"/>
      <w:footerReference w:type="default" r:id="rId32"/>
      <w:headerReference w:type="first" r:id="rId33"/>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53DE" w14:textId="77777777" w:rsidR="0022578D" w:rsidRPr="00C803F3" w:rsidRDefault="0022578D" w:rsidP="00C803F3">
      <w:r>
        <w:separator/>
      </w:r>
    </w:p>
  </w:endnote>
  <w:endnote w:type="continuationSeparator" w:id="0">
    <w:p w14:paraId="5AEB9C38" w14:textId="77777777" w:rsidR="0022578D" w:rsidRPr="00C803F3" w:rsidRDefault="0022578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0EA7" w14:textId="4BA09112" w:rsidR="00C56623" w:rsidRPr="003219CC" w:rsidRDefault="00C56623"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5E64" w14:textId="77777777" w:rsidR="0022578D" w:rsidRPr="00C803F3" w:rsidRDefault="0022578D" w:rsidP="00C803F3">
      <w:r>
        <w:separator/>
      </w:r>
    </w:p>
  </w:footnote>
  <w:footnote w:type="continuationSeparator" w:id="0">
    <w:p w14:paraId="6B7D402D" w14:textId="77777777" w:rsidR="0022578D" w:rsidRPr="00C803F3" w:rsidRDefault="0022578D"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8986" w14:textId="77777777" w:rsidR="00523729" w:rsidRDefault="00523729" w:rsidP="0052372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523729" w:rsidRPr="00C25CA7" w14:paraId="4D11A0F9" w14:textId="77777777" w:rsidTr="00631BED">
      <w:trPr>
        <w:trHeight w:val="416"/>
      </w:trPr>
      <w:tc>
        <w:tcPr>
          <w:tcW w:w="5670" w:type="dxa"/>
          <w:vMerge w:val="restart"/>
        </w:tcPr>
        <w:p w14:paraId="19339540" w14:textId="77777777" w:rsidR="00523729" w:rsidRPr="00C803F3" w:rsidRDefault="00523729" w:rsidP="00523729">
          <w:r w:rsidRPr="00831D0B">
            <w:rPr>
              <w:noProof/>
            </w:rPr>
            <w:drawing>
              <wp:inline distT="0" distB="0" distL="0" distR="0" wp14:anchorId="5F7A0241" wp14:editId="66B57411">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756442894"/>
          <w:placeholder>
            <w:docPart w:val="33B2157F73E74F83914818EB64492B22"/>
          </w:placeholder>
        </w:sdtPr>
        <w:sdtEndPr/>
        <w:sdtContent>
          <w:tc>
            <w:tcPr>
              <w:tcW w:w="4248" w:type="dxa"/>
            </w:tcPr>
            <w:p w14:paraId="6AF17B3C" w14:textId="77777777" w:rsidR="00523729" w:rsidRPr="00E02566" w:rsidRDefault="00523729" w:rsidP="00523729">
              <w:pPr>
                <w:rPr>
                  <w:b/>
                  <w:bCs/>
                </w:rPr>
              </w:pPr>
              <w:r w:rsidRPr="00E02566">
                <w:rPr>
                  <w:b/>
                  <w:bCs/>
                </w:rPr>
                <w:t xml:space="preserve">Fire </w:t>
              </w:r>
              <w:r>
                <w:rPr>
                  <w:b/>
                  <w:bCs/>
                </w:rPr>
                <w:t>Services Management Committee</w:t>
              </w:r>
            </w:p>
          </w:tc>
        </w:sdtContent>
      </w:sdt>
    </w:tr>
    <w:tr w:rsidR="00523729" w14:paraId="6578FD47" w14:textId="77777777" w:rsidTr="00631BED">
      <w:trPr>
        <w:trHeight w:val="406"/>
      </w:trPr>
      <w:tc>
        <w:tcPr>
          <w:tcW w:w="5670" w:type="dxa"/>
          <w:vMerge/>
        </w:tcPr>
        <w:p w14:paraId="38594F8B" w14:textId="77777777" w:rsidR="00523729" w:rsidRPr="00A627DD" w:rsidRDefault="00523729" w:rsidP="00523729"/>
      </w:tc>
      <w:tc>
        <w:tcPr>
          <w:tcW w:w="4248" w:type="dxa"/>
        </w:tcPr>
        <w:sdt>
          <w:sdtPr>
            <w:alias w:val="Date"/>
            <w:tag w:val="Date"/>
            <w:id w:val="-871217636"/>
            <w:placeholder>
              <w:docPart w:val="A5FC7CDEBB8F449FA4C431C80C6C1B40"/>
            </w:placeholder>
            <w:date w:fullDate="2022-03-14T00:00:00Z">
              <w:dateFormat w:val="dd MMMM yyyy"/>
              <w:lid w:val="en-GB"/>
              <w:storeMappedDataAs w:val="dateTime"/>
              <w:calendar w:val="gregorian"/>
            </w:date>
          </w:sdtPr>
          <w:sdtEndPr/>
          <w:sdtContent>
            <w:p w14:paraId="554D4E3A" w14:textId="77777777" w:rsidR="00523729" w:rsidRPr="00C803F3" w:rsidRDefault="00523729" w:rsidP="00523729">
              <w:r>
                <w:t>14 March 2022</w:t>
              </w:r>
            </w:p>
          </w:sdtContent>
        </w:sdt>
        <w:p w14:paraId="11BEF2E5" w14:textId="77777777" w:rsidR="00523729" w:rsidRDefault="00523729" w:rsidP="00523729"/>
      </w:tc>
    </w:tr>
    <w:tr w:rsidR="00523729" w:rsidRPr="00C25CA7" w14:paraId="0A11947C" w14:textId="77777777" w:rsidTr="00631BED">
      <w:trPr>
        <w:trHeight w:val="89"/>
      </w:trPr>
      <w:tc>
        <w:tcPr>
          <w:tcW w:w="5670" w:type="dxa"/>
          <w:vMerge/>
        </w:tcPr>
        <w:p w14:paraId="6D996E92" w14:textId="77777777" w:rsidR="00523729" w:rsidRPr="00A627DD" w:rsidRDefault="00523729" w:rsidP="00523729"/>
      </w:tc>
      <w:tc>
        <w:tcPr>
          <w:tcW w:w="4248" w:type="dxa"/>
        </w:tcPr>
        <w:p w14:paraId="3233D8D1" w14:textId="77777777" w:rsidR="00523729" w:rsidRPr="00C803F3" w:rsidRDefault="00523729" w:rsidP="00523729"/>
      </w:tc>
    </w:tr>
  </w:tbl>
  <w:p w14:paraId="3487E564" w14:textId="77777777" w:rsidR="00B92D70" w:rsidRPr="00523729" w:rsidRDefault="00B92D70" w:rsidP="00523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3D8D" w14:textId="77777777" w:rsidR="00523729" w:rsidRDefault="00523729" w:rsidP="0052372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523729" w:rsidRPr="00C25CA7" w14:paraId="2DFEADD7" w14:textId="77777777" w:rsidTr="00631BED">
      <w:trPr>
        <w:trHeight w:val="416"/>
      </w:trPr>
      <w:tc>
        <w:tcPr>
          <w:tcW w:w="5670" w:type="dxa"/>
          <w:vMerge w:val="restart"/>
        </w:tcPr>
        <w:p w14:paraId="70394A1F" w14:textId="77777777" w:rsidR="00523729" w:rsidRPr="00C803F3" w:rsidRDefault="00523729" w:rsidP="00523729">
          <w:r w:rsidRPr="00831D0B">
            <w:rPr>
              <w:noProof/>
            </w:rPr>
            <w:drawing>
              <wp:inline distT="0" distB="0" distL="0" distR="0" wp14:anchorId="202864D1" wp14:editId="48B07247">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9201650FBDA04910A023CCF702E175B5"/>
          </w:placeholder>
        </w:sdtPr>
        <w:sdtEndPr/>
        <w:sdtContent>
          <w:tc>
            <w:tcPr>
              <w:tcW w:w="4248" w:type="dxa"/>
            </w:tcPr>
            <w:p w14:paraId="60DD89DC" w14:textId="77777777" w:rsidR="00523729" w:rsidRPr="00E02566" w:rsidRDefault="00523729" w:rsidP="00523729">
              <w:pPr>
                <w:rPr>
                  <w:b/>
                  <w:bCs/>
                </w:rPr>
              </w:pPr>
              <w:r w:rsidRPr="00E02566">
                <w:rPr>
                  <w:b/>
                  <w:bCs/>
                </w:rPr>
                <w:t xml:space="preserve">Fire </w:t>
              </w:r>
              <w:r>
                <w:rPr>
                  <w:b/>
                  <w:bCs/>
                </w:rPr>
                <w:t>Services Management Committee</w:t>
              </w:r>
            </w:p>
          </w:tc>
        </w:sdtContent>
      </w:sdt>
    </w:tr>
    <w:tr w:rsidR="00523729" w14:paraId="1738F68D" w14:textId="77777777" w:rsidTr="00631BED">
      <w:trPr>
        <w:trHeight w:val="406"/>
      </w:trPr>
      <w:tc>
        <w:tcPr>
          <w:tcW w:w="5670" w:type="dxa"/>
          <w:vMerge/>
        </w:tcPr>
        <w:p w14:paraId="1E5FE0AF" w14:textId="77777777" w:rsidR="00523729" w:rsidRPr="00A627DD" w:rsidRDefault="00523729" w:rsidP="00523729"/>
      </w:tc>
      <w:tc>
        <w:tcPr>
          <w:tcW w:w="4248" w:type="dxa"/>
        </w:tcPr>
        <w:sdt>
          <w:sdtPr>
            <w:alias w:val="Date"/>
            <w:tag w:val="Date"/>
            <w:id w:val="-1297212270"/>
            <w:placeholder>
              <w:docPart w:val="E4C2A0881AE54C55AB8608FD4F5FB796"/>
            </w:placeholder>
            <w:date w:fullDate="2022-03-14T00:00:00Z">
              <w:dateFormat w:val="dd MMMM yyyy"/>
              <w:lid w:val="en-GB"/>
              <w:storeMappedDataAs w:val="dateTime"/>
              <w:calendar w:val="gregorian"/>
            </w:date>
          </w:sdtPr>
          <w:sdtEndPr/>
          <w:sdtContent>
            <w:p w14:paraId="5F3B494D" w14:textId="77777777" w:rsidR="00523729" w:rsidRPr="00C803F3" w:rsidRDefault="00523729" w:rsidP="00523729">
              <w:r>
                <w:t>14 March 2022</w:t>
              </w:r>
            </w:p>
          </w:sdtContent>
        </w:sdt>
        <w:p w14:paraId="007803DD" w14:textId="77777777" w:rsidR="00523729" w:rsidRDefault="00523729" w:rsidP="00523729"/>
      </w:tc>
    </w:tr>
    <w:tr w:rsidR="00523729" w:rsidRPr="00C25CA7" w14:paraId="1D6E00FB" w14:textId="77777777" w:rsidTr="00631BED">
      <w:trPr>
        <w:trHeight w:val="89"/>
      </w:trPr>
      <w:tc>
        <w:tcPr>
          <w:tcW w:w="5670" w:type="dxa"/>
          <w:vMerge/>
        </w:tcPr>
        <w:p w14:paraId="7F573AB7" w14:textId="77777777" w:rsidR="00523729" w:rsidRPr="00A627DD" w:rsidRDefault="00523729" w:rsidP="00523729"/>
      </w:tc>
      <w:tc>
        <w:tcPr>
          <w:tcW w:w="4248" w:type="dxa"/>
        </w:tcPr>
        <w:p w14:paraId="50746C5D" w14:textId="77777777" w:rsidR="00523729" w:rsidRPr="00C803F3" w:rsidRDefault="00523729" w:rsidP="00523729"/>
      </w:tc>
    </w:tr>
  </w:tbl>
  <w:p w14:paraId="4185B9A2" w14:textId="69866A49" w:rsidR="00571AF6" w:rsidRPr="00523729" w:rsidRDefault="00571AF6" w:rsidP="00523729"/>
  <w:p w14:paraId="1B51687A" w14:textId="77777777" w:rsidR="00571AF6" w:rsidRDefault="00571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772B"/>
    <w:multiLevelType w:val="multilevel"/>
    <w:tmpl w:val="15ACBDF0"/>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AD5535"/>
    <w:multiLevelType w:val="multilevel"/>
    <w:tmpl w:val="350A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03354"/>
    <w:multiLevelType w:val="multilevel"/>
    <w:tmpl w:val="9B1E72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DD0D33"/>
    <w:multiLevelType w:val="multilevel"/>
    <w:tmpl w:val="35E4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747DA"/>
    <w:multiLevelType w:val="multilevel"/>
    <w:tmpl w:val="990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05386D"/>
    <w:multiLevelType w:val="multilevel"/>
    <w:tmpl w:val="BFDC0D7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5"/>
  </w:num>
  <w:num w:numId="19">
    <w:abstractNumId w:val="1"/>
  </w:num>
  <w:num w:numId="20">
    <w:abstractNumId w:val="4"/>
  </w:num>
  <w:num w:numId="21">
    <w:abstractNumId w:val="2"/>
  </w:num>
  <w:num w:numId="22">
    <w:abstractNumId w:val="0"/>
  </w:num>
  <w:num w:numId="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14E93"/>
    <w:rsid w:val="00016097"/>
    <w:rsid w:val="0002112B"/>
    <w:rsid w:val="00022CB9"/>
    <w:rsid w:val="00042B10"/>
    <w:rsid w:val="000501B8"/>
    <w:rsid w:val="00075232"/>
    <w:rsid w:val="00076AF9"/>
    <w:rsid w:val="000873D4"/>
    <w:rsid w:val="000A5BA8"/>
    <w:rsid w:val="000B05EC"/>
    <w:rsid w:val="000B59CA"/>
    <w:rsid w:val="000B6DFF"/>
    <w:rsid w:val="000B7B96"/>
    <w:rsid w:val="000D786F"/>
    <w:rsid w:val="000F3D0E"/>
    <w:rsid w:val="000F606E"/>
    <w:rsid w:val="000F69FB"/>
    <w:rsid w:val="00112038"/>
    <w:rsid w:val="00123CB4"/>
    <w:rsid w:val="00126061"/>
    <w:rsid w:val="00131831"/>
    <w:rsid w:val="00140890"/>
    <w:rsid w:val="00146FC4"/>
    <w:rsid w:val="0016256B"/>
    <w:rsid w:val="0017249B"/>
    <w:rsid w:val="00172F7A"/>
    <w:rsid w:val="00176C9D"/>
    <w:rsid w:val="00183CD9"/>
    <w:rsid w:val="001857C9"/>
    <w:rsid w:val="001B36CE"/>
    <w:rsid w:val="001C292B"/>
    <w:rsid w:val="001C3159"/>
    <w:rsid w:val="001C448E"/>
    <w:rsid w:val="001D49EC"/>
    <w:rsid w:val="001E2F21"/>
    <w:rsid w:val="001E5FE2"/>
    <w:rsid w:val="001E6DE2"/>
    <w:rsid w:val="001F0993"/>
    <w:rsid w:val="001F1E13"/>
    <w:rsid w:val="001F4E13"/>
    <w:rsid w:val="001F6637"/>
    <w:rsid w:val="0022295D"/>
    <w:rsid w:val="0022578D"/>
    <w:rsid w:val="00235727"/>
    <w:rsid w:val="00244A14"/>
    <w:rsid w:val="002539E9"/>
    <w:rsid w:val="00254158"/>
    <w:rsid w:val="002571A3"/>
    <w:rsid w:val="0026411A"/>
    <w:rsid w:val="00264B80"/>
    <w:rsid w:val="00267B89"/>
    <w:rsid w:val="00275BEE"/>
    <w:rsid w:val="00276FDB"/>
    <w:rsid w:val="00290B77"/>
    <w:rsid w:val="0029696D"/>
    <w:rsid w:val="002A23A5"/>
    <w:rsid w:val="002B33A7"/>
    <w:rsid w:val="002B69EE"/>
    <w:rsid w:val="002E14B8"/>
    <w:rsid w:val="00301A51"/>
    <w:rsid w:val="00301C71"/>
    <w:rsid w:val="00312F4B"/>
    <w:rsid w:val="003219CC"/>
    <w:rsid w:val="00322993"/>
    <w:rsid w:val="00324CE2"/>
    <w:rsid w:val="00344413"/>
    <w:rsid w:val="00344681"/>
    <w:rsid w:val="00347013"/>
    <w:rsid w:val="00386419"/>
    <w:rsid w:val="00397E64"/>
    <w:rsid w:val="003A092D"/>
    <w:rsid w:val="003A6F93"/>
    <w:rsid w:val="003A7929"/>
    <w:rsid w:val="003C0377"/>
    <w:rsid w:val="003C59EF"/>
    <w:rsid w:val="003F5F96"/>
    <w:rsid w:val="00401A30"/>
    <w:rsid w:val="00413B64"/>
    <w:rsid w:val="00416F76"/>
    <w:rsid w:val="00426795"/>
    <w:rsid w:val="00432A9C"/>
    <w:rsid w:val="004345A7"/>
    <w:rsid w:val="00440604"/>
    <w:rsid w:val="00440B7D"/>
    <w:rsid w:val="004427E2"/>
    <w:rsid w:val="00445B3D"/>
    <w:rsid w:val="00450D1E"/>
    <w:rsid w:val="00454F6D"/>
    <w:rsid w:val="00457B15"/>
    <w:rsid w:val="00473437"/>
    <w:rsid w:val="0047538F"/>
    <w:rsid w:val="004847D8"/>
    <w:rsid w:val="00487C9D"/>
    <w:rsid w:val="0049632F"/>
    <w:rsid w:val="004A3D08"/>
    <w:rsid w:val="004A7E52"/>
    <w:rsid w:val="004B2B96"/>
    <w:rsid w:val="004C0BA6"/>
    <w:rsid w:val="004D2B5B"/>
    <w:rsid w:val="004F48AC"/>
    <w:rsid w:val="004F74F7"/>
    <w:rsid w:val="00503D9D"/>
    <w:rsid w:val="00523729"/>
    <w:rsid w:val="00524340"/>
    <w:rsid w:val="00530006"/>
    <w:rsid w:val="005352C9"/>
    <w:rsid w:val="00545E11"/>
    <w:rsid w:val="005614BC"/>
    <w:rsid w:val="00571AF6"/>
    <w:rsid w:val="005B2C6A"/>
    <w:rsid w:val="005C1AB5"/>
    <w:rsid w:val="005D5BB4"/>
    <w:rsid w:val="005D76E8"/>
    <w:rsid w:val="005E1C98"/>
    <w:rsid w:val="005E4A23"/>
    <w:rsid w:val="005E7DD3"/>
    <w:rsid w:val="00603FD8"/>
    <w:rsid w:val="006159FE"/>
    <w:rsid w:val="00624018"/>
    <w:rsid w:val="00626C83"/>
    <w:rsid w:val="00634B66"/>
    <w:rsid w:val="006555B1"/>
    <w:rsid w:val="00661B92"/>
    <w:rsid w:val="006642E5"/>
    <w:rsid w:val="006655B9"/>
    <w:rsid w:val="00674BA7"/>
    <w:rsid w:val="00687005"/>
    <w:rsid w:val="00690525"/>
    <w:rsid w:val="00693173"/>
    <w:rsid w:val="00694589"/>
    <w:rsid w:val="006971EF"/>
    <w:rsid w:val="006B27D7"/>
    <w:rsid w:val="006B2F9D"/>
    <w:rsid w:val="006B3501"/>
    <w:rsid w:val="006B49E8"/>
    <w:rsid w:val="006B638F"/>
    <w:rsid w:val="006D245A"/>
    <w:rsid w:val="006D7BBD"/>
    <w:rsid w:val="006F16EC"/>
    <w:rsid w:val="00712C86"/>
    <w:rsid w:val="00753484"/>
    <w:rsid w:val="00761B57"/>
    <w:rsid w:val="007622BA"/>
    <w:rsid w:val="00763A92"/>
    <w:rsid w:val="00773358"/>
    <w:rsid w:val="007736C5"/>
    <w:rsid w:val="00774967"/>
    <w:rsid w:val="00775893"/>
    <w:rsid w:val="007920EC"/>
    <w:rsid w:val="00795C95"/>
    <w:rsid w:val="0079628C"/>
    <w:rsid w:val="007A6153"/>
    <w:rsid w:val="007B0406"/>
    <w:rsid w:val="007B06EB"/>
    <w:rsid w:val="007B3268"/>
    <w:rsid w:val="007B3698"/>
    <w:rsid w:val="007E1923"/>
    <w:rsid w:val="007E3560"/>
    <w:rsid w:val="007E5755"/>
    <w:rsid w:val="007F358E"/>
    <w:rsid w:val="007F527F"/>
    <w:rsid w:val="007F534B"/>
    <w:rsid w:val="0080661C"/>
    <w:rsid w:val="00816DF8"/>
    <w:rsid w:val="00841E16"/>
    <w:rsid w:val="00842872"/>
    <w:rsid w:val="0085079E"/>
    <w:rsid w:val="00854545"/>
    <w:rsid w:val="00855430"/>
    <w:rsid w:val="00856A48"/>
    <w:rsid w:val="00861B25"/>
    <w:rsid w:val="0086586F"/>
    <w:rsid w:val="008665D9"/>
    <w:rsid w:val="00867B5A"/>
    <w:rsid w:val="00874113"/>
    <w:rsid w:val="00883EF0"/>
    <w:rsid w:val="00891AE9"/>
    <w:rsid w:val="008A541F"/>
    <w:rsid w:val="008B07C9"/>
    <w:rsid w:val="008B322C"/>
    <w:rsid w:val="008B3280"/>
    <w:rsid w:val="008C45B1"/>
    <w:rsid w:val="008C599A"/>
    <w:rsid w:val="008C7466"/>
    <w:rsid w:val="008D5254"/>
    <w:rsid w:val="008E4109"/>
    <w:rsid w:val="008F0059"/>
    <w:rsid w:val="008F22DE"/>
    <w:rsid w:val="00943995"/>
    <w:rsid w:val="009562D4"/>
    <w:rsid w:val="00967536"/>
    <w:rsid w:val="009914AF"/>
    <w:rsid w:val="009946D3"/>
    <w:rsid w:val="009963E9"/>
    <w:rsid w:val="009A508C"/>
    <w:rsid w:val="009B06D7"/>
    <w:rsid w:val="009B1349"/>
    <w:rsid w:val="009B1AA8"/>
    <w:rsid w:val="009B3073"/>
    <w:rsid w:val="009B6F95"/>
    <w:rsid w:val="009D1F7D"/>
    <w:rsid w:val="009D7A2B"/>
    <w:rsid w:val="009F265C"/>
    <w:rsid w:val="00A12168"/>
    <w:rsid w:val="00A20AEF"/>
    <w:rsid w:val="00A2128D"/>
    <w:rsid w:val="00A33E27"/>
    <w:rsid w:val="00A43506"/>
    <w:rsid w:val="00A443D3"/>
    <w:rsid w:val="00A52AF4"/>
    <w:rsid w:val="00A654F7"/>
    <w:rsid w:val="00A66D6E"/>
    <w:rsid w:val="00AA3FF7"/>
    <w:rsid w:val="00AC19D9"/>
    <w:rsid w:val="00AC4778"/>
    <w:rsid w:val="00AE132F"/>
    <w:rsid w:val="00AE552A"/>
    <w:rsid w:val="00B03BB3"/>
    <w:rsid w:val="00B03C74"/>
    <w:rsid w:val="00B04059"/>
    <w:rsid w:val="00B07C62"/>
    <w:rsid w:val="00B13D36"/>
    <w:rsid w:val="00B2068D"/>
    <w:rsid w:val="00B254B2"/>
    <w:rsid w:val="00B50056"/>
    <w:rsid w:val="00B51875"/>
    <w:rsid w:val="00B54476"/>
    <w:rsid w:val="00B73FB3"/>
    <w:rsid w:val="00B81D81"/>
    <w:rsid w:val="00B84F31"/>
    <w:rsid w:val="00B85192"/>
    <w:rsid w:val="00B92D70"/>
    <w:rsid w:val="00B95F74"/>
    <w:rsid w:val="00BA2CC3"/>
    <w:rsid w:val="00BB07AD"/>
    <w:rsid w:val="00BC28FC"/>
    <w:rsid w:val="00BC33D8"/>
    <w:rsid w:val="00BC5AD3"/>
    <w:rsid w:val="00BD4C0D"/>
    <w:rsid w:val="00BD5451"/>
    <w:rsid w:val="00BE07CC"/>
    <w:rsid w:val="00BF431C"/>
    <w:rsid w:val="00C020A5"/>
    <w:rsid w:val="00C0649A"/>
    <w:rsid w:val="00C11D3D"/>
    <w:rsid w:val="00C1662A"/>
    <w:rsid w:val="00C16FE3"/>
    <w:rsid w:val="00C252D5"/>
    <w:rsid w:val="00C26558"/>
    <w:rsid w:val="00C265DA"/>
    <w:rsid w:val="00C31789"/>
    <w:rsid w:val="00C3427D"/>
    <w:rsid w:val="00C56623"/>
    <w:rsid w:val="00C576CF"/>
    <w:rsid w:val="00C6403F"/>
    <w:rsid w:val="00C8033A"/>
    <w:rsid w:val="00C803F3"/>
    <w:rsid w:val="00C869C7"/>
    <w:rsid w:val="00C91014"/>
    <w:rsid w:val="00C97996"/>
    <w:rsid w:val="00CB4367"/>
    <w:rsid w:val="00CB65D5"/>
    <w:rsid w:val="00CD6733"/>
    <w:rsid w:val="00CF23CF"/>
    <w:rsid w:val="00D01E0E"/>
    <w:rsid w:val="00D1131D"/>
    <w:rsid w:val="00D122F5"/>
    <w:rsid w:val="00D1408B"/>
    <w:rsid w:val="00D1719F"/>
    <w:rsid w:val="00D17863"/>
    <w:rsid w:val="00D20984"/>
    <w:rsid w:val="00D2216D"/>
    <w:rsid w:val="00D25A19"/>
    <w:rsid w:val="00D33853"/>
    <w:rsid w:val="00D34073"/>
    <w:rsid w:val="00D34B19"/>
    <w:rsid w:val="00D45B4D"/>
    <w:rsid w:val="00D517DE"/>
    <w:rsid w:val="00D629F5"/>
    <w:rsid w:val="00D65608"/>
    <w:rsid w:val="00D737C1"/>
    <w:rsid w:val="00D73B17"/>
    <w:rsid w:val="00D940C8"/>
    <w:rsid w:val="00DA07D2"/>
    <w:rsid w:val="00DA250F"/>
    <w:rsid w:val="00DA3D7E"/>
    <w:rsid w:val="00DA45A6"/>
    <w:rsid w:val="00DA7394"/>
    <w:rsid w:val="00DC00F4"/>
    <w:rsid w:val="00DE09D1"/>
    <w:rsid w:val="00DE64C0"/>
    <w:rsid w:val="00DE67D0"/>
    <w:rsid w:val="00E07BAD"/>
    <w:rsid w:val="00E16639"/>
    <w:rsid w:val="00E2510E"/>
    <w:rsid w:val="00E43B03"/>
    <w:rsid w:val="00E45B9A"/>
    <w:rsid w:val="00E50BC3"/>
    <w:rsid w:val="00E619A2"/>
    <w:rsid w:val="00E844EF"/>
    <w:rsid w:val="00E8460B"/>
    <w:rsid w:val="00E85CC5"/>
    <w:rsid w:val="00E96983"/>
    <w:rsid w:val="00EA0D35"/>
    <w:rsid w:val="00EB1338"/>
    <w:rsid w:val="00EC261B"/>
    <w:rsid w:val="00ED689A"/>
    <w:rsid w:val="00EE6172"/>
    <w:rsid w:val="00EF3D53"/>
    <w:rsid w:val="00F05B39"/>
    <w:rsid w:val="00F078FD"/>
    <w:rsid w:val="00F13C3A"/>
    <w:rsid w:val="00F13E38"/>
    <w:rsid w:val="00F2166F"/>
    <w:rsid w:val="00F2795D"/>
    <w:rsid w:val="00F30033"/>
    <w:rsid w:val="00F5613C"/>
    <w:rsid w:val="00F84741"/>
    <w:rsid w:val="00F935B9"/>
    <w:rsid w:val="00F94AB0"/>
    <w:rsid w:val="00FA26B3"/>
    <w:rsid w:val="00FA4FE2"/>
    <w:rsid w:val="00FB7E45"/>
    <w:rsid w:val="00FE0438"/>
    <w:rsid w:val="00FE27DB"/>
    <w:rsid w:val="00FF2A22"/>
    <w:rsid w:val="00FF7B59"/>
    <w:rsid w:val="0BBD876D"/>
    <w:rsid w:val="172C08A6"/>
    <w:rsid w:val="1ED532FC"/>
    <w:rsid w:val="2F0F9D74"/>
    <w:rsid w:val="312DD3CF"/>
    <w:rsid w:val="46F33242"/>
    <w:rsid w:val="51BC0FC1"/>
    <w:rsid w:val="5B231948"/>
    <w:rsid w:val="686B7165"/>
    <w:rsid w:val="6B5D83C0"/>
    <w:rsid w:val="6D7C5193"/>
    <w:rsid w:val="73D9F29E"/>
    <w:rsid w:val="76977F93"/>
    <w:rsid w:val="77D29755"/>
    <w:rsid w:val="78BBD981"/>
    <w:rsid w:val="7B831C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87E4FD"/>
  <w15:docId w15:val="{568907D5-6551-49AF-822F-6A932458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character" w:styleId="Strong">
    <w:name w:val="Strong"/>
    <w:basedOn w:val="DefaultParagraphFont"/>
    <w:uiPriority w:val="22"/>
    <w:qFormat/>
    <w:rsid w:val="00B04059"/>
    <w:rPr>
      <w:b/>
      <w:bCs/>
    </w:rPr>
  </w:style>
  <w:style w:type="paragraph" w:customStyle="1" w:styleId="Pa17">
    <w:name w:val="Pa17"/>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8">
    <w:name w:val="Pa18"/>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9">
    <w:name w:val="Pa19"/>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character" w:styleId="FollowedHyperlink">
    <w:name w:val="FollowedHyperlink"/>
    <w:basedOn w:val="DefaultParagraphFont"/>
    <w:uiPriority w:val="99"/>
    <w:semiHidden/>
    <w:unhideWhenUsed/>
    <w:rsid w:val="00CB4367"/>
    <w:rPr>
      <w:color w:val="954F72" w:themeColor="followedHyperlink"/>
      <w:u w:val="single"/>
    </w:rPr>
  </w:style>
  <w:style w:type="paragraph" w:customStyle="1" w:styleId="legp2paratext">
    <w:name w:val="legp2paratext"/>
    <w:basedOn w:val="Normal"/>
    <w:rsid w:val="00BD4C0D"/>
    <w:pPr>
      <w:spacing w:before="100" w:beforeAutospacing="1" w:after="100" w:afterAutospacing="1" w:line="240" w:lineRule="auto"/>
      <w:ind w:left="0" w:firstLine="0"/>
    </w:pPr>
    <w:rPr>
      <w:rFonts w:ascii="Calibri" w:hAnsi="Calibri" w:cs="Calibri"/>
      <w:lang w:eastAsia="en-GB"/>
    </w:rPr>
  </w:style>
  <w:style w:type="paragraph" w:customStyle="1" w:styleId="xxmsolistparagraph">
    <w:name w:val="x_x_msolistparagraph"/>
    <w:basedOn w:val="Normal"/>
    <w:rsid w:val="00AC19D9"/>
    <w:pPr>
      <w:spacing w:after="0" w:line="240" w:lineRule="auto"/>
      <w:ind w:left="720" w:firstLine="0"/>
    </w:pPr>
    <w:rPr>
      <w:rFonts w:ascii="Calibri" w:hAnsi="Calibri" w:cs="Calibri"/>
      <w:lang w:eastAsia="en-GB"/>
    </w:rPr>
  </w:style>
  <w:style w:type="paragraph" w:customStyle="1" w:styleId="paragraph">
    <w:name w:val="paragraph"/>
    <w:basedOn w:val="Normal"/>
    <w:rsid w:val="006D245A"/>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245A"/>
  </w:style>
  <w:style w:type="character" w:customStyle="1" w:styleId="eop">
    <w:name w:val="eop"/>
    <w:basedOn w:val="DefaultParagraphFont"/>
    <w:rsid w:val="006D245A"/>
  </w:style>
  <w:style w:type="paragraph" w:styleId="Revision">
    <w:name w:val="Revision"/>
    <w:hidden/>
    <w:uiPriority w:val="99"/>
    <w:semiHidden/>
    <w:rsid w:val="005D76E8"/>
    <w:pPr>
      <w:spacing w:after="0" w:line="240" w:lineRule="auto"/>
    </w:pPr>
    <w:rPr>
      <w:rFonts w:ascii="Arial" w:eastAsiaTheme="minorHAnsi" w:hAnsi="Arial"/>
      <w:lang w:eastAsia="en-US"/>
    </w:rPr>
  </w:style>
  <w:style w:type="character" w:customStyle="1" w:styleId="markedcontent">
    <w:name w:val="markedcontent"/>
    <w:basedOn w:val="DefaultParagraphFont"/>
    <w:rsid w:val="00991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398405528">
      <w:bodyDiv w:val="1"/>
      <w:marLeft w:val="0"/>
      <w:marRight w:val="0"/>
      <w:marTop w:val="0"/>
      <w:marBottom w:val="0"/>
      <w:divBdr>
        <w:top w:val="none" w:sz="0" w:space="0" w:color="auto"/>
        <w:left w:val="none" w:sz="0" w:space="0" w:color="auto"/>
        <w:bottom w:val="none" w:sz="0" w:space="0" w:color="auto"/>
        <w:right w:val="none" w:sz="0" w:space="0" w:color="auto"/>
      </w:divBdr>
      <w:divsChild>
        <w:div w:id="133643276">
          <w:marLeft w:val="0"/>
          <w:marRight w:val="0"/>
          <w:marTop w:val="0"/>
          <w:marBottom w:val="0"/>
          <w:divBdr>
            <w:top w:val="none" w:sz="0" w:space="0" w:color="auto"/>
            <w:left w:val="none" w:sz="0" w:space="0" w:color="auto"/>
            <w:bottom w:val="none" w:sz="0" w:space="0" w:color="auto"/>
            <w:right w:val="none" w:sz="0" w:space="0" w:color="auto"/>
          </w:divBdr>
        </w:div>
        <w:div w:id="186480845">
          <w:marLeft w:val="0"/>
          <w:marRight w:val="0"/>
          <w:marTop w:val="0"/>
          <w:marBottom w:val="0"/>
          <w:divBdr>
            <w:top w:val="none" w:sz="0" w:space="0" w:color="auto"/>
            <w:left w:val="none" w:sz="0" w:space="0" w:color="auto"/>
            <w:bottom w:val="none" w:sz="0" w:space="0" w:color="auto"/>
            <w:right w:val="none" w:sz="0" w:space="0" w:color="auto"/>
          </w:divBdr>
        </w:div>
        <w:div w:id="186987065">
          <w:marLeft w:val="0"/>
          <w:marRight w:val="0"/>
          <w:marTop w:val="0"/>
          <w:marBottom w:val="0"/>
          <w:divBdr>
            <w:top w:val="none" w:sz="0" w:space="0" w:color="auto"/>
            <w:left w:val="none" w:sz="0" w:space="0" w:color="auto"/>
            <w:bottom w:val="none" w:sz="0" w:space="0" w:color="auto"/>
            <w:right w:val="none" w:sz="0" w:space="0" w:color="auto"/>
          </w:divBdr>
        </w:div>
        <w:div w:id="538319260">
          <w:marLeft w:val="0"/>
          <w:marRight w:val="0"/>
          <w:marTop w:val="0"/>
          <w:marBottom w:val="0"/>
          <w:divBdr>
            <w:top w:val="none" w:sz="0" w:space="0" w:color="auto"/>
            <w:left w:val="none" w:sz="0" w:space="0" w:color="auto"/>
            <w:bottom w:val="none" w:sz="0" w:space="0" w:color="auto"/>
            <w:right w:val="none" w:sz="0" w:space="0" w:color="auto"/>
          </w:divBdr>
        </w:div>
        <w:div w:id="626425100">
          <w:marLeft w:val="0"/>
          <w:marRight w:val="0"/>
          <w:marTop w:val="0"/>
          <w:marBottom w:val="0"/>
          <w:divBdr>
            <w:top w:val="none" w:sz="0" w:space="0" w:color="auto"/>
            <w:left w:val="none" w:sz="0" w:space="0" w:color="auto"/>
            <w:bottom w:val="none" w:sz="0" w:space="0" w:color="auto"/>
            <w:right w:val="none" w:sz="0" w:space="0" w:color="auto"/>
          </w:divBdr>
        </w:div>
        <w:div w:id="664743044">
          <w:marLeft w:val="0"/>
          <w:marRight w:val="0"/>
          <w:marTop w:val="0"/>
          <w:marBottom w:val="0"/>
          <w:divBdr>
            <w:top w:val="none" w:sz="0" w:space="0" w:color="auto"/>
            <w:left w:val="none" w:sz="0" w:space="0" w:color="auto"/>
            <w:bottom w:val="none" w:sz="0" w:space="0" w:color="auto"/>
            <w:right w:val="none" w:sz="0" w:space="0" w:color="auto"/>
          </w:divBdr>
        </w:div>
        <w:div w:id="683946181">
          <w:marLeft w:val="0"/>
          <w:marRight w:val="0"/>
          <w:marTop w:val="0"/>
          <w:marBottom w:val="0"/>
          <w:divBdr>
            <w:top w:val="none" w:sz="0" w:space="0" w:color="auto"/>
            <w:left w:val="none" w:sz="0" w:space="0" w:color="auto"/>
            <w:bottom w:val="none" w:sz="0" w:space="0" w:color="auto"/>
            <w:right w:val="none" w:sz="0" w:space="0" w:color="auto"/>
          </w:divBdr>
        </w:div>
        <w:div w:id="960526764">
          <w:marLeft w:val="0"/>
          <w:marRight w:val="0"/>
          <w:marTop w:val="0"/>
          <w:marBottom w:val="0"/>
          <w:divBdr>
            <w:top w:val="none" w:sz="0" w:space="0" w:color="auto"/>
            <w:left w:val="none" w:sz="0" w:space="0" w:color="auto"/>
            <w:bottom w:val="none" w:sz="0" w:space="0" w:color="auto"/>
            <w:right w:val="none" w:sz="0" w:space="0" w:color="auto"/>
          </w:divBdr>
        </w:div>
        <w:div w:id="1193883989">
          <w:marLeft w:val="0"/>
          <w:marRight w:val="0"/>
          <w:marTop w:val="0"/>
          <w:marBottom w:val="0"/>
          <w:divBdr>
            <w:top w:val="none" w:sz="0" w:space="0" w:color="auto"/>
            <w:left w:val="none" w:sz="0" w:space="0" w:color="auto"/>
            <w:bottom w:val="none" w:sz="0" w:space="0" w:color="auto"/>
            <w:right w:val="none" w:sz="0" w:space="0" w:color="auto"/>
          </w:divBdr>
        </w:div>
        <w:div w:id="1205219321">
          <w:marLeft w:val="0"/>
          <w:marRight w:val="0"/>
          <w:marTop w:val="0"/>
          <w:marBottom w:val="0"/>
          <w:divBdr>
            <w:top w:val="none" w:sz="0" w:space="0" w:color="auto"/>
            <w:left w:val="none" w:sz="0" w:space="0" w:color="auto"/>
            <w:bottom w:val="none" w:sz="0" w:space="0" w:color="auto"/>
            <w:right w:val="none" w:sz="0" w:space="0" w:color="auto"/>
          </w:divBdr>
        </w:div>
        <w:div w:id="1279873724">
          <w:marLeft w:val="0"/>
          <w:marRight w:val="0"/>
          <w:marTop w:val="0"/>
          <w:marBottom w:val="0"/>
          <w:divBdr>
            <w:top w:val="none" w:sz="0" w:space="0" w:color="auto"/>
            <w:left w:val="none" w:sz="0" w:space="0" w:color="auto"/>
            <w:bottom w:val="none" w:sz="0" w:space="0" w:color="auto"/>
            <w:right w:val="none" w:sz="0" w:space="0" w:color="auto"/>
          </w:divBdr>
        </w:div>
        <w:div w:id="1293948046">
          <w:marLeft w:val="0"/>
          <w:marRight w:val="0"/>
          <w:marTop w:val="0"/>
          <w:marBottom w:val="0"/>
          <w:divBdr>
            <w:top w:val="none" w:sz="0" w:space="0" w:color="auto"/>
            <w:left w:val="none" w:sz="0" w:space="0" w:color="auto"/>
            <w:bottom w:val="none" w:sz="0" w:space="0" w:color="auto"/>
            <w:right w:val="none" w:sz="0" w:space="0" w:color="auto"/>
          </w:divBdr>
        </w:div>
        <w:div w:id="1373649916">
          <w:marLeft w:val="0"/>
          <w:marRight w:val="0"/>
          <w:marTop w:val="0"/>
          <w:marBottom w:val="0"/>
          <w:divBdr>
            <w:top w:val="none" w:sz="0" w:space="0" w:color="auto"/>
            <w:left w:val="none" w:sz="0" w:space="0" w:color="auto"/>
            <w:bottom w:val="none" w:sz="0" w:space="0" w:color="auto"/>
            <w:right w:val="none" w:sz="0" w:space="0" w:color="auto"/>
          </w:divBdr>
        </w:div>
        <w:div w:id="1451588863">
          <w:marLeft w:val="0"/>
          <w:marRight w:val="0"/>
          <w:marTop w:val="0"/>
          <w:marBottom w:val="0"/>
          <w:divBdr>
            <w:top w:val="none" w:sz="0" w:space="0" w:color="auto"/>
            <w:left w:val="none" w:sz="0" w:space="0" w:color="auto"/>
            <w:bottom w:val="none" w:sz="0" w:space="0" w:color="auto"/>
            <w:right w:val="none" w:sz="0" w:space="0" w:color="auto"/>
          </w:divBdr>
        </w:div>
        <w:div w:id="1490249377">
          <w:marLeft w:val="0"/>
          <w:marRight w:val="0"/>
          <w:marTop w:val="0"/>
          <w:marBottom w:val="0"/>
          <w:divBdr>
            <w:top w:val="none" w:sz="0" w:space="0" w:color="auto"/>
            <w:left w:val="none" w:sz="0" w:space="0" w:color="auto"/>
            <w:bottom w:val="none" w:sz="0" w:space="0" w:color="auto"/>
            <w:right w:val="none" w:sz="0" w:space="0" w:color="auto"/>
          </w:divBdr>
        </w:div>
        <w:div w:id="1570143690">
          <w:marLeft w:val="0"/>
          <w:marRight w:val="0"/>
          <w:marTop w:val="0"/>
          <w:marBottom w:val="0"/>
          <w:divBdr>
            <w:top w:val="none" w:sz="0" w:space="0" w:color="auto"/>
            <w:left w:val="none" w:sz="0" w:space="0" w:color="auto"/>
            <w:bottom w:val="none" w:sz="0" w:space="0" w:color="auto"/>
            <w:right w:val="none" w:sz="0" w:space="0" w:color="auto"/>
          </w:divBdr>
        </w:div>
        <w:div w:id="1737630057">
          <w:marLeft w:val="0"/>
          <w:marRight w:val="0"/>
          <w:marTop w:val="0"/>
          <w:marBottom w:val="0"/>
          <w:divBdr>
            <w:top w:val="none" w:sz="0" w:space="0" w:color="auto"/>
            <w:left w:val="none" w:sz="0" w:space="0" w:color="auto"/>
            <w:bottom w:val="none" w:sz="0" w:space="0" w:color="auto"/>
            <w:right w:val="none" w:sz="0" w:space="0" w:color="auto"/>
          </w:divBdr>
        </w:div>
        <w:div w:id="1864783079">
          <w:marLeft w:val="0"/>
          <w:marRight w:val="0"/>
          <w:marTop w:val="0"/>
          <w:marBottom w:val="0"/>
          <w:divBdr>
            <w:top w:val="none" w:sz="0" w:space="0" w:color="auto"/>
            <w:left w:val="none" w:sz="0" w:space="0" w:color="auto"/>
            <w:bottom w:val="none" w:sz="0" w:space="0" w:color="auto"/>
            <w:right w:val="none" w:sz="0" w:space="0" w:color="auto"/>
          </w:divBdr>
        </w:div>
        <w:div w:id="1974602433">
          <w:marLeft w:val="0"/>
          <w:marRight w:val="0"/>
          <w:marTop w:val="0"/>
          <w:marBottom w:val="0"/>
          <w:divBdr>
            <w:top w:val="none" w:sz="0" w:space="0" w:color="auto"/>
            <w:left w:val="none" w:sz="0" w:space="0" w:color="auto"/>
            <w:bottom w:val="none" w:sz="0" w:space="0" w:color="auto"/>
            <w:right w:val="none" w:sz="0" w:space="0" w:color="auto"/>
          </w:divBdr>
        </w:div>
        <w:div w:id="2098935708">
          <w:marLeft w:val="0"/>
          <w:marRight w:val="0"/>
          <w:marTop w:val="0"/>
          <w:marBottom w:val="0"/>
          <w:divBdr>
            <w:top w:val="none" w:sz="0" w:space="0" w:color="auto"/>
            <w:left w:val="none" w:sz="0" w:space="0" w:color="auto"/>
            <w:bottom w:val="none" w:sz="0" w:space="0" w:color="auto"/>
            <w:right w:val="none" w:sz="0" w:space="0" w:color="auto"/>
          </w:divBdr>
        </w:div>
        <w:div w:id="2123766908">
          <w:marLeft w:val="0"/>
          <w:marRight w:val="0"/>
          <w:marTop w:val="0"/>
          <w:marBottom w:val="0"/>
          <w:divBdr>
            <w:top w:val="none" w:sz="0" w:space="0" w:color="auto"/>
            <w:left w:val="none" w:sz="0" w:space="0" w:color="auto"/>
            <w:bottom w:val="none" w:sz="0" w:space="0" w:color="auto"/>
            <w:right w:val="none" w:sz="0" w:space="0" w:color="auto"/>
          </w:divBdr>
        </w:div>
        <w:div w:id="2124810841">
          <w:marLeft w:val="0"/>
          <w:marRight w:val="0"/>
          <w:marTop w:val="0"/>
          <w:marBottom w:val="0"/>
          <w:divBdr>
            <w:top w:val="none" w:sz="0" w:space="0" w:color="auto"/>
            <w:left w:val="none" w:sz="0" w:space="0" w:color="auto"/>
            <w:bottom w:val="none" w:sz="0" w:space="0" w:color="auto"/>
            <w:right w:val="none" w:sz="0" w:space="0" w:color="auto"/>
          </w:divBdr>
        </w:div>
      </w:divsChild>
    </w:div>
    <w:div w:id="402334010">
      <w:bodyDiv w:val="1"/>
      <w:marLeft w:val="0"/>
      <w:marRight w:val="0"/>
      <w:marTop w:val="0"/>
      <w:marBottom w:val="0"/>
      <w:divBdr>
        <w:top w:val="none" w:sz="0" w:space="0" w:color="auto"/>
        <w:left w:val="none" w:sz="0" w:space="0" w:color="auto"/>
        <w:bottom w:val="none" w:sz="0" w:space="0" w:color="auto"/>
        <w:right w:val="none" w:sz="0" w:space="0" w:color="auto"/>
      </w:divBdr>
    </w:div>
    <w:div w:id="535704634">
      <w:bodyDiv w:val="1"/>
      <w:marLeft w:val="0"/>
      <w:marRight w:val="0"/>
      <w:marTop w:val="0"/>
      <w:marBottom w:val="0"/>
      <w:divBdr>
        <w:top w:val="none" w:sz="0" w:space="0" w:color="auto"/>
        <w:left w:val="none" w:sz="0" w:space="0" w:color="auto"/>
        <w:bottom w:val="none" w:sz="0" w:space="0" w:color="auto"/>
        <w:right w:val="none" w:sz="0" w:space="0" w:color="auto"/>
      </w:divBdr>
    </w:div>
    <w:div w:id="544685897">
      <w:bodyDiv w:val="1"/>
      <w:marLeft w:val="0"/>
      <w:marRight w:val="0"/>
      <w:marTop w:val="0"/>
      <w:marBottom w:val="0"/>
      <w:divBdr>
        <w:top w:val="none" w:sz="0" w:space="0" w:color="auto"/>
        <w:left w:val="none" w:sz="0" w:space="0" w:color="auto"/>
        <w:bottom w:val="none" w:sz="0" w:space="0" w:color="auto"/>
        <w:right w:val="none" w:sz="0" w:space="0" w:color="auto"/>
      </w:divBdr>
      <w:divsChild>
        <w:div w:id="1115948550">
          <w:marLeft w:val="0"/>
          <w:marRight w:val="0"/>
          <w:marTop w:val="0"/>
          <w:marBottom w:val="0"/>
          <w:divBdr>
            <w:top w:val="none" w:sz="0" w:space="0" w:color="auto"/>
            <w:left w:val="none" w:sz="0" w:space="0" w:color="auto"/>
            <w:bottom w:val="none" w:sz="0" w:space="0" w:color="auto"/>
            <w:right w:val="none" w:sz="0" w:space="0" w:color="auto"/>
          </w:divBdr>
          <w:divsChild>
            <w:div w:id="5358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9883">
      <w:bodyDiv w:val="1"/>
      <w:marLeft w:val="0"/>
      <w:marRight w:val="0"/>
      <w:marTop w:val="0"/>
      <w:marBottom w:val="0"/>
      <w:divBdr>
        <w:top w:val="none" w:sz="0" w:space="0" w:color="auto"/>
        <w:left w:val="none" w:sz="0" w:space="0" w:color="auto"/>
        <w:bottom w:val="none" w:sz="0" w:space="0" w:color="auto"/>
        <w:right w:val="none" w:sz="0" w:space="0" w:color="auto"/>
      </w:divBdr>
    </w:div>
    <w:div w:id="674192178">
      <w:bodyDiv w:val="1"/>
      <w:marLeft w:val="0"/>
      <w:marRight w:val="0"/>
      <w:marTop w:val="0"/>
      <w:marBottom w:val="0"/>
      <w:divBdr>
        <w:top w:val="none" w:sz="0" w:space="0" w:color="auto"/>
        <w:left w:val="none" w:sz="0" w:space="0" w:color="auto"/>
        <w:bottom w:val="none" w:sz="0" w:space="0" w:color="auto"/>
        <w:right w:val="none" w:sz="0" w:space="0" w:color="auto"/>
      </w:divBdr>
    </w:div>
    <w:div w:id="776146807">
      <w:bodyDiv w:val="1"/>
      <w:marLeft w:val="0"/>
      <w:marRight w:val="0"/>
      <w:marTop w:val="0"/>
      <w:marBottom w:val="0"/>
      <w:divBdr>
        <w:top w:val="none" w:sz="0" w:space="0" w:color="auto"/>
        <w:left w:val="none" w:sz="0" w:space="0" w:color="auto"/>
        <w:bottom w:val="none" w:sz="0" w:space="0" w:color="auto"/>
        <w:right w:val="none" w:sz="0" w:space="0" w:color="auto"/>
      </w:divBdr>
    </w:div>
    <w:div w:id="845168680">
      <w:bodyDiv w:val="1"/>
      <w:marLeft w:val="0"/>
      <w:marRight w:val="0"/>
      <w:marTop w:val="0"/>
      <w:marBottom w:val="0"/>
      <w:divBdr>
        <w:top w:val="none" w:sz="0" w:space="0" w:color="auto"/>
        <w:left w:val="none" w:sz="0" w:space="0" w:color="auto"/>
        <w:bottom w:val="none" w:sz="0" w:space="0" w:color="auto"/>
        <w:right w:val="none" w:sz="0" w:space="0" w:color="auto"/>
      </w:divBdr>
      <w:divsChild>
        <w:div w:id="295455310">
          <w:marLeft w:val="0"/>
          <w:marRight w:val="0"/>
          <w:marTop w:val="0"/>
          <w:marBottom w:val="0"/>
          <w:divBdr>
            <w:top w:val="none" w:sz="0" w:space="0" w:color="auto"/>
            <w:left w:val="none" w:sz="0" w:space="0" w:color="auto"/>
            <w:bottom w:val="none" w:sz="0" w:space="0" w:color="auto"/>
            <w:right w:val="none" w:sz="0" w:space="0" w:color="auto"/>
          </w:divBdr>
          <w:divsChild>
            <w:div w:id="1326593385">
              <w:marLeft w:val="0"/>
              <w:marRight w:val="0"/>
              <w:marTop w:val="0"/>
              <w:marBottom w:val="0"/>
              <w:divBdr>
                <w:top w:val="none" w:sz="0" w:space="0" w:color="auto"/>
                <w:left w:val="none" w:sz="0" w:space="0" w:color="auto"/>
                <w:bottom w:val="none" w:sz="0" w:space="0" w:color="auto"/>
                <w:right w:val="none" w:sz="0" w:space="0" w:color="auto"/>
              </w:divBdr>
            </w:div>
          </w:divsChild>
        </w:div>
        <w:div w:id="339699096">
          <w:marLeft w:val="0"/>
          <w:marRight w:val="0"/>
          <w:marTop w:val="0"/>
          <w:marBottom w:val="0"/>
          <w:divBdr>
            <w:top w:val="none" w:sz="0" w:space="0" w:color="auto"/>
            <w:left w:val="none" w:sz="0" w:space="0" w:color="auto"/>
            <w:bottom w:val="none" w:sz="0" w:space="0" w:color="auto"/>
            <w:right w:val="none" w:sz="0" w:space="0" w:color="auto"/>
          </w:divBdr>
          <w:divsChild>
            <w:div w:id="283585186">
              <w:marLeft w:val="0"/>
              <w:marRight w:val="0"/>
              <w:marTop w:val="0"/>
              <w:marBottom w:val="0"/>
              <w:divBdr>
                <w:top w:val="none" w:sz="0" w:space="0" w:color="auto"/>
                <w:left w:val="none" w:sz="0" w:space="0" w:color="auto"/>
                <w:bottom w:val="none" w:sz="0" w:space="0" w:color="auto"/>
                <w:right w:val="none" w:sz="0" w:space="0" w:color="auto"/>
              </w:divBdr>
            </w:div>
            <w:div w:id="20286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9213">
      <w:bodyDiv w:val="1"/>
      <w:marLeft w:val="0"/>
      <w:marRight w:val="0"/>
      <w:marTop w:val="0"/>
      <w:marBottom w:val="0"/>
      <w:divBdr>
        <w:top w:val="none" w:sz="0" w:space="0" w:color="auto"/>
        <w:left w:val="none" w:sz="0" w:space="0" w:color="auto"/>
        <w:bottom w:val="none" w:sz="0" w:space="0" w:color="auto"/>
        <w:right w:val="none" w:sz="0" w:space="0" w:color="auto"/>
      </w:divBdr>
      <w:divsChild>
        <w:div w:id="401486207">
          <w:marLeft w:val="0"/>
          <w:marRight w:val="0"/>
          <w:marTop w:val="0"/>
          <w:marBottom w:val="0"/>
          <w:divBdr>
            <w:top w:val="none" w:sz="0" w:space="0" w:color="auto"/>
            <w:left w:val="none" w:sz="0" w:space="0" w:color="auto"/>
            <w:bottom w:val="none" w:sz="0" w:space="0" w:color="auto"/>
            <w:right w:val="none" w:sz="0" w:space="0" w:color="auto"/>
          </w:divBdr>
        </w:div>
        <w:div w:id="1740865505">
          <w:marLeft w:val="0"/>
          <w:marRight w:val="0"/>
          <w:marTop w:val="0"/>
          <w:marBottom w:val="0"/>
          <w:divBdr>
            <w:top w:val="none" w:sz="0" w:space="0" w:color="auto"/>
            <w:left w:val="none" w:sz="0" w:space="0" w:color="auto"/>
            <w:bottom w:val="none" w:sz="0" w:space="0" w:color="auto"/>
            <w:right w:val="none" w:sz="0" w:space="0" w:color="auto"/>
          </w:divBdr>
        </w:div>
        <w:div w:id="1898008930">
          <w:marLeft w:val="0"/>
          <w:marRight w:val="0"/>
          <w:marTop w:val="0"/>
          <w:marBottom w:val="0"/>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07940567">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 w:id="21013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tions.parliament.uk/pa/bills/cbill/58-02/0139/210139.pdf" TargetMode="External"/><Relationship Id="rId18" Type="http://schemas.openxmlformats.org/officeDocument/2006/relationships/hyperlink" Target="https://assets.publishing.service.gov.uk/government/uploads/system/uploads/attachment_data/file/5960/1926282.pdf" TargetMode="External"/><Relationship Id="rId26" Type="http://schemas.openxmlformats.org/officeDocument/2006/relationships/hyperlink" Target="https://www.gov.uk/government/publications/fire-safety-act-addendum/fire-safety-act-addendum" TargetMode="External"/><Relationship Id="rId3" Type="http://schemas.openxmlformats.org/officeDocument/2006/relationships/customXml" Target="../customXml/item3.xml"/><Relationship Id="rId21" Type="http://schemas.openxmlformats.org/officeDocument/2006/relationships/hyperlink" Target="https://www.gov.uk/government/publications/building-safety-bill-important-document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ublications.parliament.uk/pa/cm5801/cmselect/cmcomloc/466/46602.htm" TargetMode="External"/><Relationship Id="rId17" Type="http://schemas.openxmlformats.org/officeDocument/2006/relationships/hyperlink" Target="https://publications.parliament.uk/pa/cm5802/cmpublic/BuildingSafety/memo/BSB19.htm" TargetMode="External"/><Relationship Id="rId25" Type="http://schemas.openxmlformats.org/officeDocument/2006/relationships/hyperlink" Target="https://www.gov.uk/government/publications/building-safety-bill-factsheets/building-safety-regulator-factsheet"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uidance/building-safety-planning-gateway-one" TargetMode="External"/><Relationship Id="rId20" Type="http://schemas.openxmlformats.org/officeDocument/2006/relationships/image" Target="media/image1.jpg"/><Relationship Id="rId29" Type="http://schemas.openxmlformats.org/officeDocument/2006/relationships/hyperlink" Target="https://www.gov.uk/government/publications/building-safety-bill-factsheets/buildings-included-in-the-new-more-stringent-regulatory-regime-factshe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tomlins@derbys-fire.gov.uk" TargetMode="External"/><Relationship Id="rId24" Type="http://schemas.openxmlformats.org/officeDocument/2006/relationships/hyperlink" Target="https://www.gov.uk/government/publications/building-safety-bill-factsheets/building-safety-charge-factsheet-for-leaseholder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building-safety-bill-government-response-to-pre-legislative-scrutiny-by-the-select-committee/building-safety-bill-government-response-to-pre-legislative-scrutiny-by-the-select-committee" TargetMode="External"/><Relationship Id="rId23" Type="http://schemas.openxmlformats.org/officeDocument/2006/relationships/hyperlink" Target="https://www.gov.uk/government/publications/building-safety-bill-factsheets/building-safety-charge-factsheet-for-landlords-building-owners" TargetMode="External"/><Relationship Id="rId28" Type="http://schemas.openxmlformats.org/officeDocument/2006/relationships/hyperlink" Target="https://www.gov.uk/government/publications/building-safety-bill-factsheets/golden-thread-factshee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ssets.grenfelltowerinquiry.org.uk/inline-files/Phase%202%20provisional%20timetable_0.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building-safety-bill-transition-plan/outline-transition-plan-for-the-building-safety-bill" TargetMode="External"/><Relationship Id="rId22" Type="http://schemas.openxmlformats.org/officeDocument/2006/relationships/hyperlink" Target="https://www.gov.uk/government/publications/building-safety-bill-factsheets" TargetMode="External"/><Relationship Id="rId27" Type="http://schemas.openxmlformats.org/officeDocument/2006/relationships/hyperlink" Target="https://www.gov.uk/government/publications/building-safety-bill-factsheets/building-control-regime-for-higher-risk-buildings-gateways-2-and-3-factsheet" TargetMode="External"/><Relationship Id="rId30" Type="http://schemas.openxmlformats.org/officeDocument/2006/relationships/hyperlink" Target="https://www.gov.uk/government/publications/building-safety-bill-factsheets/safety-case-factsheet" TargetMode="Externa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8952FE319F5642748C0B3F7878422227"/>
        <w:category>
          <w:name w:val="General"/>
          <w:gallery w:val="placeholder"/>
        </w:category>
        <w:types>
          <w:type w:val="bbPlcHdr"/>
        </w:types>
        <w:behaviors>
          <w:behavior w:val="content"/>
        </w:behaviors>
        <w:guid w:val="{D1FCF37C-1267-4274-A531-41DAAED8DA71}"/>
      </w:docPartPr>
      <w:docPartBody>
        <w:p w:rsidR="00F14DC6" w:rsidRDefault="00B367FA" w:rsidP="00B367FA">
          <w:pPr>
            <w:pStyle w:val="8952FE319F5642748C0B3F7878422227"/>
          </w:pPr>
          <w:r w:rsidRPr="00FB1144">
            <w:rPr>
              <w:rStyle w:val="PlaceholderText"/>
            </w:rPr>
            <w:t>Click here to enter text.</w:t>
          </w:r>
        </w:p>
      </w:docPartBody>
    </w:docPart>
    <w:docPart>
      <w:docPartPr>
        <w:name w:val="9201650FBDA04910A023CCF702E175B5"/>
        <w:category>
          <w:name w:val="General"/>
          <w:gallery w:val="placeholder"/>
        </w:category>
        <w:types>
          <w:type w:val="bbPlcHdr"/>
        </w:types>
        <w:behaviors>
          <w:behavior w:val="content"/>
        </w:behaviors>
        <w:guid w:val="{D0092DC4-7E9B-4F13-B2F4-4A70D629412F}"/>
      </w:docPartPr>
      <w:docPartBody>
        <w:p w:rsidR="00CE3941" w:rsidRDefault="001B46D2" w:rsidP="001B46D2">
          <w:pPr>
            <w:pStyle w:val="9201650FBDA04910A023CCF702E175B5"/>
          </w:pPr>
          <w:r w:rsidRPr="00FB1144">
            <w:rPr>
              <w:rStyle w:val="PlaceholderText"/>
            </w:rPr>
            <w:t>Click here to enter text.</w:t>
          </w:r>
        </w:p>
      </w:docPartBody>
    </w:docPart>
    <w:docPart>
      <w:docPartPr>
        <w:name w:val="E4C2A0881AE54C55AB8608FD4F5FB796"/>
        <w:category>
          <w:name w:val="General"/>
          <w:gallery w:val="placeholder"/>
        </w:category>
        <w:types>
          <w:type w:val="bbPlcHdr"/>
        </w:types>
        <w:behaviors>
          <w:behavior w:val="content"/>
        </w:behaviors>
        <w:guid w:val="{B9ACE65F-2F5C-44E4-8E63-8C085D34A1C4}"/>
      </w:docPartPr>
      <w:docPartBody>
        <w:p w:rsidR="00CE3941" w:rsidRDefault="001B46D2" w:rsidP="001B46D2">
          <w:pPr>
            <w:pStyle w:val="E4C2A0881AE54C55AB8608FD4F5FB796"/>
          </w:pPr>
          <w:r w:rsidRPr="00FB1144">
            <w:rPr>
              <w:rStyle w:val="PlaceholderText"/>
            </w:rPr>
            <w:t>Click here to enter text.</w:t>
          </w:r>
        </w:p>
      </w:docPartBody>
    </w:docPart>
    <w:docPart>
      <w:docPartPr>
        <w:name w:val="33B2157F73E74F83914818EB64492B22"/>
        <w:category>
          <w:name w:val="General"/>
          <w:gallery w:val="placeholder"/>
        </w:category>
        <w:types>
          <w:type w:val="bbPlcHdr"/>
        </w:types>
        <w:behaviors>
          <w:behavior w:val="content"/>
        </w:behaviors>
        <w:guid w:val="{E4AEAD89-D083-48F6-9A54-C344416AC35F}"/>
      </w:docPartPr>
      <w:docPartBody>
        <w:p w:rsidR="00CE3941" w:rsidRDefault="001B46D2" w:rsidP="001B46D2">
          <w:pPr>
            <w:pStyle w:val="33B2157F73E74F83914818EB64492B22"/>
          </w:pPr>
          <w:r w:rsidRPr="00FB1144">
            <w:rPr>
              <w:rStyle w:val="PlaceholderText"/>
            </w:rPr>
            <w:t>Click here to enter text.</w:t>
          </w:r>
        </w:p>
      </w:docPartBody>
    </w:docPart>
    <w:docPart>
      <w:docPartPr>
        <w:name w:val="A5FC7CDEBB8F449FA4C431C80C6C1B40"/>
        <w:category>
          <w:name w:val="General"/>
          <w:gallery w:val="placeholder"/>
        </w:category>
        <w:types>
          <w:type w:val="bbPlcHdr"/>
        </w:types>
        <w:behaviors>
          <w:behavior w:val="content"/>
        </w:behaviors>
        <w:guid w:val="{9AB2BA35-8C3D-4922-8058-2C01FD7AF290}"/>
      </w:docPartPr>
      <w:docPartBody>
        <w:p w:rsidR="00CE3941" w:rsidRDefault="001B46D2" w:rsidP="001B46D2">
          <w:pPr>
            <w:pStyle w:val="A5FC7CDEBB8F449FA4C431C80C6C1B4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115A1"/>
    <w:rsid w:val="0005415F"/>
    <w:rsid w:val="001B46D2"/>
    <w:rsid w:val="001C5E1E"/>
    <w:rsid w:val="002037C2"/>
    <w:rsid w:val="003D5F45"/>
    <w:rsid w:val="00456596"/>
    <w:rsid w:val="0048326A"/>
    <w:rsid w:val="004A7A89"/>
    <w:rsid w:val="00535991"/>
    <w:rsid w:val="00570CA2"/>
    <w:rsid w:val="00576FB3"/>
    <w:rsid w:val="00684BC6"/>
    <w:rsid w:val="006B49E8"/>
    <w:rsid w:val="006C5901"/>
    <w:rsid w:val="007100C4"/>
    <w:rsid w:val="00775EB8"/>
    <w:rsid w:val="007F5996"/>
    <w:rsid w:val="00922F59"/>
    <w:rsid w:val="00976D0D"/>
    <w:rsid w:val="00A46959"/>
    <w:rsid w:val="00A51F1F"/>
    <w:rsid w:val="00A86444"/>
    <w:rsid w:val="00AA5CFC"/>
    <w:rsid w:val="00B367FA"/>
    <w:rsid w:val="00B66AB9"/>
    <w:rsid w:val="00B9136C"/>
    <w:rsid w:val="00BA7CFC"/>
    <w:rsid w:val="00CE3941"/>
    <w:rsid w:val="00D65608"/>
    <w:rsid w:val="00D90016"/>
    <w:rsid w:val="00E47FC7"/>
    <w:rsid w:val="00E7151E"/>
    <w:rsid w:val="00E74619"/>
    <w:rsid w:val="00F14DC6"/>
    <w:rsid w:val="00F158B6"/>
    <w:rsid w:val="00FE67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6D2"/>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602357B17E8043739AD27C3284A47032">
    <w:name w:val="602357B17E8043739AD27C3284A4703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8952FE319F5642748C0B3F7878422227">
    <w:name w:val="8952FE319F5642748C0B3F7878422227"/>
    <w:rsid w:val="00B367FA"/>
  </w:style>
  <w:style w:type="paragraph" w:customStyle="1" w:styleId="9201650FBDA04910A023CCF702E175B5">
    <w:name w:val="9201650FBDA04910A023CCF702E175B5"/>
    <w:rsid w:val="001B46D2"/>
  </w:style>
  <w:style w:type="paragraph" w:customStyle="1" w:styleId="E4C2A0881AE54C55AB8608FD4F5FB796">
    <w:name w:val="E4C2A0881AE54C55AB8608FD4F5FB796"/>
    <w:rsid w:val="001B46D2"/>
  </w:style>
  <w:style w:type="paragraph" w:customStyle="1" w:styleId="33B2157F73E74F83914818EB64492B22">
    <w:name w:val="33B2157F73E74F83914818EB64492B22"/>
    <w:rsid w:val="001B46D2"/>
  </w:style>
  <w:style w:type="paragraph" w:customStyle="1" w:styleId="A5FC7CDEBB8F449FA4C431C80C6C1B40">
    <w:name w:val="A5FC7CDEBB8F449FA4C431C80C6C1B40"/>
    <w:rsid w:val="001B4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666af-c1f7-41bf-aa8d-09e75bf390e0"/>
    <ds:schemaRef ds:uri="http://purl.org/dc/elements/1.1/"/>
    <ds:schemaRef ds:uri="http://schemas.microsoft.com/office/2006/metadata/properties"/>
    <ds:schemaRef ds:uri="260551db-00be-4bbc-8c7a-03e783dddd12"/>
    <ds:schemaRef ds:uri="http://www.w3.org/XML/1998/namespace"/>
    <ds:schemaRef ds:uri="http://purl.org/dc/dcmitype/"/>
  </ds:schemaRefs>
</ds:datastoreItem>
</file>

<file path=customXml/itemProps3.xml><?xml version="1.0" encoding="utf-8"?>
<ds:datastoreItem xmlns:ds="http://schemas.openxmlformats.org/officeDocument/2006/customXml" ds:itemID="{6A699DE7-3D43-4FEA-8EEC-8A1E34A44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A1484-3FD8-402F-9047-DA230FB4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24799</CharactersWithSpaces>
  <SharedDoc>false</SharedDoc>
  <HLinks>
    <vt:vector size="114" baseType="variant">
      <vt:variant>
        <vt:i4>589826</vt:i4>
      </vt:variant>
      <vt:variant>
        <vt:i4>54</vt:i4>
      </vt:variant>
      <vt:variant>
        <vt:i4>0</vt:i4>
      </vt:variant>
      <vt:variant>
        <vt:i4>5</vt:i4>
      </vt:variant>
      <vt:variant>
        <vt:lpwstr>https://www.gov.uk/government/publications/building-safety-bill-factsheets/safety-case-factsheet</vt:lpwstr>
      </vt:variant>
      <vt:variant>
        <vt:lpwstr/>
      </vt:variant>
      <vt:variant>
        <vt:i4>2359415</vt:i4>
      </vt:variant>
      <vt:variant>
        <vt:i4>51</vt:i4>
      </vt:variant>
      <vt:variant>
        <vt:i4>0</vt:i4>
      </vt:variant>
      <vt:variant>
        <vt:i4>5</vt:i4>
      </vt:variant>
      <vt:variant>
        <vt:lpwstr>https://www.gov.uk/government/publications/building-safety-bill-factsheets/buildings-included-in-the-new-more-stringent-regulatory-regime-factsheet</vt:lpwstr>
      </vt:variant>
      <vt:variant>
        <vt:lpwstr/>
      </vt:variant>
      <vt:variant>
        <vt:i4>7012461</vt:i4>
      </vt:variant>
      <vt:variant>
        <vt:i4>48</vt:i4>
      </vt:variant>
      <vt:variant>
        <vt:i4>0</vt:i4>
      </vt:variant>
      <vt:variant>
        <vt:i4>5</vt:i4>
      </vt:variant>
      <vt:variant>
        <vt:lpwstr>https://www.gov.uk/government/publications/building-safety-bill-factsheets/golden-thread-factsheet</vt:lpwstr>
      </vt:variant>
      <vt:variant>
        <vt:lpwstr/>
      </vt:variant>
      <vt:variant>
        <vt:i4>7471149</vt:i4>
      </vt:variant>
      <vt:variant>
        <vt:i4>45</vt:i4>
      </vt:variant>
      <vt:variant>
        <vt:i4>0</vt:i4>
      </vt:variant>
      <vt:variant>
        <vt:i4>5</vt:i4>
      </vt:variant>
      <vt:variant>
        <vt:lpwstr>https://www.gov.uk/government/publications/building-safety-bill-factsheets/building-control-regime-for-higher-risk-buildings-gateways-2-and-3-factsheet</vt:lpwstr>
      </vt:variant>
      <vt:variant>
        <vt:lpwstr/>
      </vt:variant>
      <vt:variant>
        <vt:i4>5832709</vt:i4>
      </vt:variant>
      <vt:variant>
        <vt:i4>42</vt:i4>
      </vt:variant>
      <vt:variant>
        <vt:i4>0</vt:i4>
      </vt:variant>
      <vt:variant>
        <vt:i4>5</vt:i4>
      </vt:variant>
      <vt:variant>
        <vt:lpwstr>https://www.gov.uk/government/publications/fire-safety-act-addendum/fire-safety-act-addendum</vt:lpwstr>
      </vt:variant>
      <vt:variant>
        <vt:lpwstr/>
      </vt:variant>
      <vt:variant>
        <vt:i4>7274538</vt:i4>
      </vt:variant>
      <vt:variant>
        <vt:i4>39</vt:i4>
      </vt:variant>
      <vt:variant>
        <vt:i4>0</vt:i4>
      </vt:variant>
      <vt:variant>
        <vt:i4>5</vt:i4>
      </vt:variant>
      <vt:variant>
        <vt:lpwstr>https://www.gov.uk/government/publications/building-safety-bill-factsheets/building-safety-regulator-factsheet</vt:lpwstr>
      </vt:variant>
      <vt:variant>
        <vt:lpwstr/>
      </vt:variant>
      <vt:variant>
        <vt:i4>4980764</vt:i4>
      </vt:variant>
      <vt:variant>
        <vt:i4>36</vt:i4>
      </vt:variant>
      <vt:variant>
        <vt:i4>0</vt:i4>
      </vt:variant>
      <vt:variant>
        <vt:i4>5</vt:i4>
      </vt:variant>
      <vt:variant>
        <vt:lpwstr>https://www.gov.uk/government/publications/building-safety-bill-factsheets/building-safety-charge-factsheet-for-leaseholders</vt:lpwstr>
      </vt:variant>
      <vt:variant>
        <vt:lpwstr/>
      </vt:variant>
      <vt:variant>
        <vt:i4>983132</vt:i4>
      </vt:variant>
      <vt:variant>
        <vt:i4>33</vt:i4>
      </vt:variant>
      <vt:variant>
        <vt:i4>0</vt:i4>
      </vt:variant>
      <vt:variant>
        <vt:i4>5</vt:i4>
      </vt:variant>
      <vt:variant>
        <vt:lpwstr>https://www.gov.uk/government/publications/building-safety-bill-factsheets/building-safety-charge-factsheet-for-landlords-building-owners</vt:lpwstr>
      </vt:variant>
      <vt:variant>
        <vt:lpwstr/>
      </vt:variant>
      <vt:variant>
        <vt:i4>2490485</vt:i4>
      </vt:variant>
      <vt:variant>
        <vt:i4>30</vt:i4>
      </vt:variant>
      <vt:variant>
        <vt:i4>0</vt:i4>
      </vt:variant>
      <vt:variant>
        <vt:i4>5</vt:i4>
      </vt:variant>
      <vt:variant>
        <vt:lpwstr>https://www.gov.uk/government/publications/building-safety-bill-factsheets</vt:lpwstr>
      </vt:variant>
      <vt:variant>
        <vt:lpwstr/>
      </vt:variant>
      <vt:variant>
        <vt:i4>7536744</vt:i4>
      </vt:variant>
      <vt:variant>
        <vt:i4>27</vt:i4>
      </vt:variant>
      <vt:variant>
        <vt:i4>0</vt:i4>
      </vt:variant>
      <vt:variant>
        <vt:i4>5</vt:i4>
      </vt:variant>
      <vt:variant>
        <vt:lpwstr>https://www.gov.uk/government/publications/building-safety-bill-important-documents</vt:lpwstr>
      </vt:variant>
      <vt:variant>
        <vt:lpwstr/>
      </vt:variant>
      <vt:variant>
        <vt:i4>5111847</vt:i4>
      </vt:variant>
      <vt:variant>
        <vt:i4>24</vt:i4>
      </vt:variant>
      <vt:variant>
        <vt:i4>0</vt:i4>
      </vt:variant>
      <vt:variant>
        <vt:i4>5</vt:i4>
      </vt:variant>
      <vt:variant>
        <vt:lpwstr>https://assets.grenfelltowerinquiry.org.uk/inline-files/Phase 2 provisional timetable_0.pdf</vt:lpwstr>
      </vt:variant>
      <vt:variant>
        <vt:lpwstr/>
      </vt:variant>
      <vt:variant>
        <vt:i4>3145796</vt:i4>
      </vt:variant>
      <vt:variant>
        <vt:i4>21</vt:i4>
      </vt:variant>
      <vt:variant>
        <vt:i4>0</vt:i4>
      </vt:variant>
      <vt:variant>
        <vt:i4>5</vt:i4>
      </vt:variant>
      <vt:variant>
        <vt:lpwstr>https://assets.publishing.service.gov.uk/government/uploads/system/uploads/attachment_data/file/5960/1926282.pdf</vt:lpwstr>
      </vt:variant>
      <vt:variant>
        <vt:lpwstr/>
      </vt:variant>
      <vt:variant>
        <vt:i4>8126591</vt:i4>
      </vt:variant>
      <vt:variant>
        <vt:i4>18</vt:i4>
      </vt:variant>
      <vt:variant>
        <vt:i4>0</vt:i4>
      </vt:variant>
      <vt:variant>
        <vt:i4>5</vt:i4>
      </vt:variant>
      <vt:variant>
        <vt:lpwstr>https://publications.parliament.uk/pa/cm5802/cmpublic/BuildingSafety/memo/BSB19.htm</vt:lpwstr>
      </vt:variant>
      <vt:variant>
        <vt:lpwstr/>
      </vt:variant>
      <vt:variant>
        <vt:i4>65626</vt:i4>
      </vt:variant>
      <vt:variant>
        <vt:i4>15</vt:i4>
      </vt:variant>
      <vt:variant>
        <vt:i4>0</vt:i4>
      </vt:variant>
      <vt:variant>
        <vt:i4>5</vt:i4>
      </vt:variant>
      <vt:variant>
        <vt:lpwstr>https://www.gov.uk/guidance/building-safety-planning-gateway-one</vt:lpwstr>
      </vt:variant>
      <vt:variant>
        <vt:lpwstr/>
      </vt:variant>
      <vt:variant>
        <vt:i4>1966146</vt:i4>
      </vt:variant>
      <vt:variant>
        <vt:i4>12</vt:i4>
      </vt:variant>
      <vt:variant>
        <vt:i4>0</vt:i4>
      </vt:variant>
      <vt:variant>
        <vt:i4>5</vt:i4>
      </vt:variant>
      <vt:variant>
        <vt:lpwstr>https://www.gov.uk/government/publications/building-safety-bill-government-response-to-pre-legislative-scrutiny-by-the-select-committee/building-safety-bill-government-response-to-pre-legislative-scrutiny-by-the-select-committee</vt:lpwstr>
      </vt:variant>
      <vt:variant>
        <vt:lpwstr/>
      </vt:variant>
      <vt:variant>
        <vt:i4>4980831</vt:i4>
      </vt:variant>
      <vt:variant>
        <vt:i4>9</vt:i4>
      </vt:variant>
      <vt:variant>
        <vt:i4>0</vt:i4>
      </vt:variant>
      <vt:variant>
        <vt:i4>5</vt:i4>
      </vt:variant>
      <vt:variant>
        <vt:lpwstr>https://www.gov.uk/government/publications/building-safety-bill-transition-plan/outline-transition-plan-for-the-building-safety-bill</vt:lpwstr>
      </vt:variant>
      <vt:variant>
        <vt:lpwstr/>
      </vt:variant>
      <vt:variant>
        <vt:i4>3014753</vt:i4>
      </vt:variant>
      <vt:variant>
        <vt:i4>6</vt:i4>
      </vt:variant>
      <vt:variant>
        <vt:i4>0</vt:i4>
      </vt:variant>
      <vt:variant>
        <vt:i4>5</vt:i4>
      </vt:variant>
      <vt:variant>
        <vt:lpwstr>https://publications.parliament.uk/pa/bills/cbill/58-02/0139/210139.pdf</vt:lpwstr>
      </vt:variant>
      <vt:variant>
        <vt:lpwstr/>
      </vt:variant>
      <vt:variant>
        <vt:i4>2031629</vt:i4>
      </vt:variant>
      <vt:variant>
        <vt:i4>3</vt:i4>
      </vt:variant>
      <vt:variant>
        <vt:i4>0</vt:i4>
      </vt:variant>
      <vt:variant>
        <vt:i4>5</vt:i4>
      </vt:variant>
      <vt:variant>
        <vt:lpwstr>https://publications.parliament.uk/pa/cm5801/cmselect/cmcomloc/466/46602.htm</vt:lpwstr>
      </vt:variant>
      <vt:variant>
        <vt:lpwstr/>
      </vt:variant>
      <vt:variant>
        <vt:i4>4980835</vt:i4>
      </vt:variant>
      <vt:variant>
        <vt:i4>0</vt:i4>
      </vt:variant>
      <vt:variant>
        <vt:i4>0</vt:i4>
      </vt:variant>
      <vt:variant>
        <vt:i4>5</vt:i4>
      </vt:variant>
      <vt:variant>
        <vt:lpwstr>mailto:gtomlins@derbys-fire.gov.uk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Mark Norris,  LGA Policy</cp:lastModifiedBy>
  <cp:revision>21</cp:revision>
  <dcterms:created xsi:type="dcterms:W3CDTF">2021-11-24T09:52:00Z</dcterms:created>
  <dcterms:modified xsi:type="dcterms:W3CDTF">2022-03-08T14:11:00Z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